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AD" w:rsidRDefault="004F20AD" w:rsidP="004F20AD">
      <w:pPr>
        <w:spacing w:beforeLines="50" w:before="180" w:line="0" w:lineRule="atLeast"/>
        <w:jc w:val="center"/>
        <w:rPr>
          <w:rFonts w:ascii="標楷體" w:eastAsia="標楷體" w:hAnsi="標楷體"/>
          <w:b/>
          <w:bCs/>
          <w:spacing w:val="40"/>
          <w:sz w:val="40"/>
          <w:szCs w:val="40"/>
        </w:rPr>
      </w:pPr>
      <w:r>
        <w:rPr>
          <w:rFonts w:ascii="標楷體" w:eastAsia="標楷體" w:hAnsi="標楷體" w:hint="eastAsia"/>
          <w:b/>
          <w:bCs/>
          <w:spacing w:val="40"/>
          <w:sz w:val="40"/>
          <w:szCs w:val="40"/>
        </w:rPr>
        <w:t>研揚科技股份有限公司</w:t>
      </w:r>
    </w:p>
    <w:p w:rsidR="004F20AD" w:rsidRDefault="004F20AD" w:rsidP="004F20AD">
      <w:pPr>
        <w:spacing w:beforeLines="50" w:before="180" w:line="0" w:lineRule="atLeast"/>
        <w:jc w:val="center"/>
        <w:rPr>
          <w:rFonts w:ascii="標楷體" w:eastAsia="標楷體" w:hAnsi="標楷體"/>
          <w:b/>
          <w:bCs/>
          <w:spacing w:val="40"/>
          <w:sz w:val="36"/>
          <w:szCs w:val="36"/>
        </w:rPr>
      </w:pPr>
      <w:r>
        <w:rPr>
          <w:rFonts w:ascii="標楷體" w:eastAsia="標楷體" w:hAnsi="標楷體" w:hint="eastAsia"/>
          <w:b/>
          <w:bCs/>
          <w:spacing w:val="40"/>
          <w:sz w:val="36"/>
          <w:szCs w:val="36"/>
        </w:rPr>
        <w:t>文件修訂紀錄表</w:t>
      </w:r>
    </w:p>
    <w:p w:rsidR="004F20AD" w:rsidRPr="00FD5237" w:rsidRDefault="004F20AD" w:rsidP="004F20AD">
      <w:pPr>
        <w:snapToGrid w:val="0"/>
        <w:spacing w:before="120" w:after="120" w:line="320" w:lineRule="exact"/>
        <w:jc w:val="center"/>
        <w:rPr>
          <w:rFonts w:ascii="標楷體" w:eastAsia="標楷體" w:hAnsi="標楷體"/>
          <w:b/>
          <w:sz w:val="36"/>
          <w:szCs w:val="36"/>
        </w:rPr>
      </w:pPr>
      <w:r>
        <w:rPr>
          <w:rFonts w:ascii="標楷體" w:eastAsia="標楷體" w:hAnsi="標楷體" w:hint="eastAsia"/>
          <w:b/>
          <w:sz w:val="36"/>
          <w:szCs w:val="36"/>
        </w:rPr>
        <w:t>取得或處分資產處理程序</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812"/>
        <w:gridCol w:w="1275"/>
      </w:tblGrid>
      <w:tr w:rsidR="004F20AD" w:rsidTr="00DD27AF">
        <w:tc>
          <w:tcPr>
            <w:tcW w:w="1526" w:type="dxa"/>
            <w:tcBorders>
              <w:top w:val="single" w:sz="4" w:space="0" w:color="auto"/>
              <w:left w:val="single" w:sz="4" w:space="0" w:color="auto"/>
              <w:bottom w:val="single" w:sz="4" w:space="0" w:color="auto"/>
              <w:right w:val="single" w:sz="4" w:space="0" w:color="auto"/>
            </w:tcBorders>
            <w:hideMark/>
          </w:tcPr>
          <w:p w:rsidR="004F20AD" w:rsidRDefault="004F20AD" w:rsidP="004F20AD">
            <w:pPr>
              <w:spacing w:beforeLines="50" w:before="180" w:line="0" w:lineRule="atLeast"/>
              <w:jc w:val="center"/>
              <w:rPr>
                <w:rFonts w:ascii="標楷體" w:eastAsia="標楷體" w:hAnsi="標楷體"/>
                <w:b/>
                <w:bCs/>
                <w:szCs w:val="24"/>
              </w:rPr>
            </w:pPr>
            <w:r>
              <w:rPr>
                <w:rFonts w:ascii="標楷體" w:eastAsia="標楷體" w:hAnsi="標楷體" w:hint="eastAsia"/>
                <w:b/>
                <w:bCs/>
              </w:rPr>
              <w:t>修訂日期</w:t>
            </w:r>
          </w:p>
        </w:tc>
        <w:tc>
          <w:tcPr>
            <w:tcW w:w="5812" w:type="dxa"/>
            <w:tcBorders>
              <w:top w:val="single" w:sz="4" w:space="0" w:color="auto"/>
              <w:left w:val="single" w:sz="4" w:space="0" w:color="auto"/>
              <w:bottom w:val="single" w:sz="4" w:space="0" w:color="auto"/>
              <w:right w:val="single" w:sz="4" w:space="0" w:color="auto"/>
            </w:tcBorders>
            <w:hideMark/>
          </w:tcPr>
          <w:p w:rsidR="004F20AD" w:rsidRDefault="004F20AD" w:rsidP="004F20AD">
            <w:pPr>
              <w:spacing w:beforeLines="50" w:before="180" w:line="0" w:lineRule="atLeast"/>
              <w:jc w:val="center"/>
              <w:rPr>
                <w:rFonts w:ascii="標楷體" w:eastAsia="標楷體" w:hAnsi="標楷體"/>
                <w:b/>
                <w:bCs/>
                <w:szCs w:val="24"/>
              </w:rPr>
            </w:pPr>
            <w:r>
              <w:rPr>
                <w:rFonts w:ascii="標楷體" w:eastAsia="標楷體" w:hAnsi="標楷體" w:hint="eastAsia"/>
                <w:b/>
                <w:bCs/>
              </w:rPr>
              <w:t>修訂內容</w:t>
            </w:r>
          </w:p>
        </w:tc>
        <w:tc>
          <w:tcPr>
            <w:tcW w:w="1275" w:type="dxa"/>
            <w:tcBorders>
              <w:top w:val="single" w:sz="4" w:space="0" w:color="auto"/>
              <w:left w:val="single" w:sz="4" w:space="0" w:color="auto"/>
              <w:bottom w:val="single" w:sz="4" w:space="0" w:color="auto"/>
              <w:right w:val="single" w:sz="4" w:space="0" w:color="auto"/>
            </w:tcBorders>
            <w:hideMark/>
          </w:tcPr>
          <w:p w:rsidR="004F20AD" w:rsidRDefault="004F20AD" w:rsidP="004F20AD">
            <w:pPr>
              <w:spacing w:beforeLines="50" w:before="180" w:line="0" w:lineRule="atLeast"/>
              <w:jc w:val="center"/>
              <w:rPr>
                <w:rFonts w:ascii="標楷體" w:eastAsia="標楷體" w:hAnsi="標楷體"/>
                <w:b/>
                <w:bCs/>
                <w:szCs w:val="24"/>
              </w:rPr>
            </w:pPr>
            <w:r>
              <w:rPr>
                <w:rFonts w:ascii="標楷體" w:eastAsia="標楷體" w:hAnsi="標楷體" w:hint="eastAsia"/>
                <w:b/>
                <w:bCs/>
              </w:rPr>
              <w:t>修訂者</w:t>
            </w:r>
          </w:p>
        </w:tc>
      </w:tr>
      <w:tr w:rsidR="004F20AD" w:rsidTr="00DD27AF">
        <w:tc>
          <w:tcPr>
            <w:tcW w:w="1526" w:type="dxa"/>
            <w:tcBorders>
              <w:top w:val="single" w:sz="4" w:space="0" w:color="auto"/>
              <w:left w:val="single" w:sz="4" w:space="0" w:color="auto"/>
              <w:bottom w:val="single" w:sz="4" w:space="0" w:color="auto"/>
              <w:right w:val="single" w:sz="4" w:space="0" w:color="auto"/>
            </w:tcBorders>
            <w:hideMark/>
          </w:tcPr>
          <w:p w:rsidR="004F20AD" w:rsidRDefault="004F20AD" w:rsidP="004F20AD">
            <w:pPr>
              <w:spacing w:beforeLines="50" w:before="180" w:line="0" w:lineRule="atLeast"/>
              <w:rPr>
                <w:rFonts w:ascii="標楷體" w:eastAsia="標楷體" w:hAnsi="標楷體"/>
                <w:bCs/>
                <w:szCs w:val="24"/>
              </w:rPr>
            </w:pPr>
            <w:r>
              <w:rPr>
                <w:rFonts w:ascii="標楷體" w:eastAsia="標楷體" w:hAnsi="標楷體" w:hint="eastAsia"/>
                <w:bCs/>
                <w:szCs w:val="24"/>
              </w:rPr>
              <w:t>103/6</w:t>
            </w:r>
            <w:r w:rsidR="009532C5">
              <w:rPr>
                <w:rFonts w:ascii="標楷體" w:eastAsia="標楷體" w:hAnsi="標楷體" w:hint="eastAsia"/>
                <w:bCs/>
                <w:szCs w:val="24"/>
              </w:rPr>
              <w:t>/30</w:t>
            </w:r>
          </w:p>
        </w:tc>
        <w:tc>
          <w:tcPr>
            <w:tcW w:w="5812" w:type="dxa"/>
            <w:tcBorders>
              <w:top w:val="single" w:sz="4" w:space="0" w:color="auto"/>
              <w:left w:val="single" w:sz="4" w:space="0" w:color="auto"/>
              <w:bottom w:val="single" w:sz="4" w:space="0" w:color="auto"/>
              <w:right w:val="single" w:sz="4" w:space="0" w:color="auto"/>
            </w:tcBorders>
            <w:hideMark/>
          </w:tcPr>
          <w:p w:rsidR="004F20AD" w:rsidRPr="004F20AD" w:rsidRDefault="004F20AD" w:rsidP="00EA4024">
            <w:pPr>
              <w:rPr>
                <w:rFonts w:ascii="標楷體" w:eastAsia="標楷體" w:hAnsi="標楷體"/>
                <w:bCs/>
                <w:szCs w:val="24"/>
              </w:rPr>
            </w:pPr>
            <w:r>
              <w:rPr>
                <w:rFonts w:ascii="標楷體" w:eastAsia="標楷體" w:hAnsi="標楷體" w:hint="eastAsia"/>
                <w:bCs/>
              </w:rPr>
              <w:t>訂定(董事會103/3/7通過,股東會103/</w:t>
            </w:r>
            <w:r w:rsidR="009532C5">
              <w:rPr>
                <w:rFonts w:ascii="標楷體" w:eastAsia="標楷體" w:hAnsi="標楷體" w:hint="eastAsia"/>
                <w:bCs/>
              </w:rPr>
              <w:t>6/30</w:t>
            </w:r>
            <w:r>
              <w:rPr>
                <w:rFonts w:ascii="標楷體" w:eastAsia="標楷體" w:hAnsi="標楷體" w:hint="eastAsia"/>
                <w:bCs/>
              </w:rPr>
              <w:t>通過)</w:t>
            </w:r>
            <w:r w:rsidRPr="005D65CA">
              <w:rPr>
                <w:rFonts w:eastAsia="標楷體"/>
                <w:sz w:val="20"/>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F20AD" w:rsidRDefault="004F20AD" w:rsidP="004F20AD">
            <w:pPr>
              <w:spacing w:beforeLines="50" w:before="180" w:line="0" w:lineRule="atLeast"/>
              <w:jc w:val="center"/>
              <w:rPr>
                <w:rFonts w:ascii="標楷體" w:eastAsia="標楷體" w:hAnsi="標楷體"/>
                <w:bCs/>
                <w:szCs w:val="24"/>
              </w:rPr>
            </w:pPr>
            <w:r>
              <w:rPr>
                <w:rFonts w:ascii="標楷體" w:eastAsia="標楷體" w:hAnsi="標楷體" w:hint="eastAsia"/>
                <w:bCs/>
              </w:rPr>
              <w:t>張淑雲</w:t>
            </w:r>
          </w:p>
        </w:tc>
      </w:tr>
      <w:tr w:rsidR="004F20AD" w:rsidTr="00DD27AF">
        <w:tc>
          <w:tcPr>
            <w:tcW w:w="1526" w:type="dxa"/>
            <w:tcBorders>
              <w:top w:val="single" w:sz="4" w:space="0" w:color="auto"/>
              <w:left w:val="single" w:sz="4" w:space="0" w:color="auto"/>
              <w:bottom w:val="single" w:sz="4" w:space="0" w:color="auto"/>
              <w:right w:val="single" w:sz="4" w:space="0" w:color="auto"/>
            </w:tcBorders>
          </w:tcPr>
          <w:p w:rsidR="004F20AD" w:rsidRDefault="00C45ECE" w:rsidP="004F20AD">
            <w:pPr>
              <w:spacing w:beforeLines="50" w:before="180" w:line="0" w:lineRule="atLeast"/>
              <w:rPr>
                <w:rFonts w:ascii="標楷體" w:eastAsia="標楷體" w:hAnsi="標楷體"/>
                <w:bCs/>
                <w:szCs w:val="24"/>
              </w:rPr>
            </w:pPr>
            <w:r>
              <w:rPr>
                <w:rFonts w:ascii="標楷體" w:eastAsia="標楷體" w:hAnsi="標楷體"/>
                <w:bCs/>
                <w:szCs w:val="24"/>
              </w:rPr>
              <w:t>105/6/30</w:t>
            </w:r>
          </w:p>
        </w:tc>
        <w:tc>
          <w:tcPr>
            <w:tcW w:w="5812" w:type="dxa"/>
            <w:tcBorders>
              <w:top w:val="single" w:sz="4" w:space="0" w:color="auto"/>
              <w:left w:val="single" w:sz="4" w:space="0" w:color="auto"/>
              <w:bottom w:val="single" w:sz="4" w:space="0" w:color="auto"/>
              <w:right w:val="single" w:sz="4" w:space="0" w:color="auto"/>
            </w:tcBorders>
          </w:tcPr>
          <w:p w:rsidR="004F20AD" w:rsidRDefault="004F20AD" w:rsidP="00EA4024">
            <w:pPr>
              <w:spacing w:beforeLines="50" w:before="180" w:line="0" w:lineRule="atLeast"/>
              <w:rPr>
                <w:rFonts w:ascii="標楷體" w:eastAsia="標楷體" w:hAnsi="標楷體"/>
                <w:bCs/>
                <w:szCs w:val="24"/>
              </w:rPr>
            </w:pPr>
            <w:r>
              <w:rPr>
                <w:rFonts w:ascii="標楷體" w:eastAsia="標楷體" w:hAnsi="標楷體" w:hint="eastAsia"/>
                <w:bCs/>
              </w:rPr>
              <w:t>修訂(董事會</w:t>
            </w:r>
            <w:r w:rsidR="00EA4024">
              <w:rPr>
                <w:rFonts w:ascii="標楷體" w:eastAsia="標楷體" w:hAnsi="標楷體" w:hint="eastAsia"/>
                <w:bCs/>
              </w:rPr>
              <w:t>105/5/20</w:t>
            </w:r>
            <w:r>
              <w:rPr>
                <w:rFonts w:ascii="標楷體" w:eastAsia="標楷體" w:hAnsi="標楷體" w:hint="eastAsia"/>
                <w:bCs/>
              </w:rPr>
              <w:t>通過,股東會</w:t>
            </w:r>
            <w:r w:rsidR="00C45ECE">
              <w:rPr>
                <w:rFonts w:ascii="標楷體" w:eastAsia="標楷體" w:hAnsi="標楷體" w:hint="eastAsia"/>
                <w:bCs/>
              </w:rPr>
              <w:t>105/6/30</w:t>
            </w:r>
            <w:r>
              <w:rPr>
                <w:rFonts w:ascii="標楷體" w:eastAsia="標楷體" w:hAnsi="標楷體" w:hint="eastAsia"/>
                <w:bCs/>
              </w:rPr>
              <w:t>通過)</w:t>
            </w:r>
          </w:p>
        </w:tc>
        <w:tc>
          <w:tcPr>
            <w:tcW w:w="1275" w:type="dxa"/>
            <w:tcBorders>
              <w:top w:val="single" w:sz="4" w:space="0" w:color="auto"/>
              <w:left w:val="single" w:sz="4" w:space="0" w:color="auto"/>
              <w:bottom w:val="single" w:sz="4" w:space="0" w:color="auto"/>
              <w:right w:val="single" w:sz="4" w:space="0" w:color="auto"/>
            </w:tcBorders>
          </w:tcPr>
          <w:p w:rsidR="004F20AD" w:rsidRPr="00EA4024" w:rsidRDefault="00EA4024" w:rsidP="004F20AD">
            <w:pPr>
              <w:spacing w:beforeLines="50" w:before="180" w:line="0" w:lineRule="atLeast"/>
              <w:jc w:val="center"/>
              <w:rPr>
                <w:rFonts w:ascii="標楷體" w:eastAsia="標楷體" w:hAnsi="標楷體"/>
                <w:bCs/>
                <w:szCs w:val="24"/>
              </w:rPr>
            </w:pPr>
            <w:r>
              <w:rPr>
                <w:rFonts w:ascii="標楷體" w:eastAsia="標楷體" w:hAnsi="標楷體"/>
                <w:bCs/>
                <w:szCs w:val="24"/>
              </w:rPr>
              <w:t>張淑雲</w:t>
            </w: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C46C2F">
            <w:pPr>
              <w:spacing w:beforeLines="50" w:before="180" w:line="0" w:lineRule="atLeast"/>
              <w:rPr>
                <w:rFonts w:ascii="標楷體" w:eastAsia="標楷體" w:hAnsi="標楷體"/>
                <w:bCs/>
                <w:szCs w:val="24"/>
              </w:rPr>
            </w:pPr>
            <w:r>
              <w:rPr>
                <w:rFonts w:ascii="標楷體" w:eastAsia="標楷體" w:hAnsi="標楷體" w:hint="eastAsia"/>
                <w:bCs/>
                <w:szCs w:val="24"/>
              </w:rPr>
              <w:t>10</w:t>
            </w:r>
            <w:r w:rsidR="00C46C2F">
              <w:rPr>
                <w:rFonts w:ascii="標楷體" w:eastAsia="標楷體" w:hAnsi="標楷體" w:hint="eastAsia"/>
                <w:bCs/>
                <w:szCs w:val="24"/>
              </w:rPr>
              <w:t>7</w:t>
            </w:r>
            <w:bookmarkStart w:id="0" w:name="_GoBack"/>
            <w:bookmarkEnd w:id="0"/>
            <w:r>
              <w:rPr>
                <w:rFonts w:ascii="標楷體" w:eastAsia="標楷體" w:hAnsi="標楷體" w:hint="eastAsia"/>
                <w:bCs/>
                <w:szCs w:val="24"/>
              </w:rPr>
              <w:t>/07/30</w:t>
            </w: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r>
              <w:rPr>
                <w:rFonts w:ascii="標楷體" w:eastAsia="標楷體" w:hAnsi="標楷體" w:hint="eastAsia"/>
                <w:bCs/>
              </w:rPr>
              <w:t>修訂(董事會107/6/11通過,股東會107/7/30通過)</w:t>
            </w: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r>
              <w:rPr>
                <w:rFonts w:ascii="標楷體" w:eastAsia="標楷體" w:hAnsi="標楷體" w:hint="eastAsia"/>
                <w:bCs/>
                <w:szCs w:val="24"/>
                <w:lang w:eastAsia="zh-HK"/>
              </w:rPr>
              <w:t>杜昀真</w:t>
            </w: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r w:rsidR="00584C34" w:rsidTr="00DD27AF">
        <w:tc>
          <w:tcPr>
            <w:tcW w:w="1526"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c>
          <w:tcPr>
            <w:tcW w:w="5812"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rPr>
                <w:rFonts w:ascii="標楷體" w:eastAsia="標楷體" w:hAnsi="標楷體"/>
                <w:bCs/>
                <w:szCs w:val="24"/>
              </w:rPr>
            </w:pPr>
          </w:p>
        </w:tc>
        <w:tc>
          <w:tcPr>
            <w:tcW w:w="1275" w:type="dxa"/>
            <w:tcBorders>
              <w:top w:val="single" w:sz="4" w:space="0" w:color="auto"/>
              <w:left w:val="single" w:sz="4" w:space="0" w:color="auto"/>
              <w:bottom w:val="single" w:sz="4" w:space="0" w:color="auto"/>
              <w:right w:val="single" w:sz="4" w:space="0" w:color="auto"/>
            </w:tcBorders>
          </w:tcPr>
          <w:p w:rsidR="00584C34" w:rsidRDefault="00584C34" w:rsidP="00584C34">
            <w:pPr>
              <w:spacing w:beforeLines="50" w:before="180" w:line="0" w:lineRule="atLeast"/>
              <w:jc w:val="center"/>
              <w:rPr>
                <w:rFonts w:ascii="標楷體" w:eastAsia="標楷體" w:hAnsi="標楷體"/>
                <w:bCs/>
                <w:szCs w:val="24"/>
              </w:rPr>
            </w:pPr>
          </w:p>
        </w:tc>
      </w:tr>
    </w:tbl>
    <w:p w:rsidR="004F20AD" w:rsidRDefault="004F20AD" w:rsidP="004F20AD">
      <w:pPr>
        <w:snapToGrid w:val="0"/>
        <w:spacing w:before="120" w:after="120" w:line="320" w:lineRule="exact"/>
        <w:jc w:val="center"/>
        <w:rPr>
          <w:rFonts w:ascii="標楷體" w:eastAsia="標楷體" w:hAnsi="標楷體"/>
          <w:b/>
          <w:szCs w:val="24"/>
        </w:rPr>
      </w:pPr>
    </w:p>
    <w:p w:rsidR="004F20AD" w:rsidRDefault="004F20AD" w:rsidP="004F20AD">
      <w:pPr>
        <w:widowControl/>
        <w:rPr>
          <w:rFonts w:ascii="標楷體" w:eastAsia="標楷體" w:hAnsi="標楷體"/>
          <w:b/>
          <w:szCs w:val="24"/>
        </w:rPr>
      </w:pPr>
      <w:r>
        <w:rPr>
          <w:rFonts w:ascii="標楷體" w:eastAsia="標楷體" w:hAnsi="標楷體"/>
          <w:b/>
          <w:szCs w:val="24"/>
        </w:rPr>
        <w:br w:type="page"/>
      </w:r>
    </w:p>
    <w:p w:rsidR="008C299F" w:rsidRPr="004F20AD" w:rsidRDefault="008C299F" w:rsidP="008C299F">
      <w:pPr>
        <w:snapToGrid w:val="0"/>
        <w:spacing w:line="360" w:lineRule="exact"/>
        <w:ind w:right="66" w:firstLine="720"/>
        <w:jc w:val="right"/>
        <w:rPr>
          <w:rFonts w:eastAsia="標楷體"/>
          <w:szCs w:val="24"/>
        </w:rPr>
      </w:pPr>
    </w:p>
    <w:p w:rsidR="008C299F" w:rsidRPr="00584C34" w:rsidRDefault="008C299F" w:rsidP="008C299F">
      <w:pPr>
        <w:snapToGrid w:val="0"/>
        <w:spacing w:line="360" w:lineRule="auto"/>
        <w:jc w:val="center"/>
        <w:rPr>
          <w:rFonts w:eastAsia="標楷體"/>
          <w:b/>
          <w:sz w:val="32"/>
          <w:szCs w:val="32"/>
        </w:rPr>
      </w:pPr>
      <w:r w:rsidRPr="00584C34">
        <w:rPr>
          <w:rFonts w:eastAsia="標楷體"/>
          <w:b/>
          <w:sz w:val="32"/>
          <w:szCs w:val="32"/>
        </w:rPr>
        <w:t>研揚科技股份有限公司</w:t>
      </w:r>
    </w:p>
    <w:p w:rsidR="008C299F" w:rsidRPr="005D65CA" w:rsidRDefault="008C299F" w:rsidP="008C299F">
      <w:pPr>
        <w:snapToGrid w:val="0"/>
        <w:spacing w:line="360" w:lineRule="auto"/>
        <w:jc w:val="center"/>
        <w:rPr>
          <w:rFonts w:eastAsia="標楷體"/>
          <w:b/>
          <w:sz w:val="28"/>
        </w:rPr>
      </w:pPr>
      <w:r w:rsidRPr="005D65CA">
        <w:rPr>
          <w:rFonts w:eastAsia="標楷體"/>
          <w:b/>
          <w:sz w:val="28"/>
        </w:rPr>
        <w:t>取得或處分資產處理程序</w:t>
      </w:r>
    </w:p>
    <w:p w:rsidR="008C299F" w:rsidRPr="005D65CA" w:rsidRDefault="009532C5" w:rsidP="008C299F">
      <w:pPr>
        <w:wordWrap w:val="0"/>
        <w:jc w:val="right"/>
        <w:rPr>
          <w:rFonts w:eastAsia="標楷體"/>
          <w:sz w:val="20"/>
        </w:rPr>
      </w:pPr>
      <w:r>
        <w:rPr>
          <w:rFonts w:eastAsia="標楷體"/>
          <w:sz w:val="20"/>
        </w:rPr>
        <w:t>修訂</w:t>
      </w:r>
      <w:r w:rsidR="008C299F" w:rsidRPr="005D65CA">
        <w:rPr>
          <w:rFonts w:eastAsia="標楷體"/>
          <w:sz w:val="20"/>
        </w:rPr>
        <w:t>日期：中華民國</w:t>
      </w:r>
      <w:r w:rsidR="00584C34">
        <w:rPr>
          <w:rFonts w:eastAsia="標楷體"/>
          <w:sz w:val="20"/>
        </w:rPr>
        <w:t>1</w:t>
      </w:r>
      <w:r w:rsidR="00584C34">
        <w:rPr>
          <w:rFonts w:eastAsia="標楷體" w:hint="eastAsia"/>
          <w:sz w:val="20"/>
        </w:rPr>
        <w:t>07</w:t>
      </w:r>
      <w:r w:rsidR="008C299F" w:rsidRPr="005D65CA">
        <w:rPr>
          <w:rFonts w:eastAsia="標楷體"/>
          <w:sz w:val="20"/>
        </w:rPr>
        <w:t>年</w:t>
      </w:r>
      <w:r w:rsidR="00584C34">
        <w:rPr>
          <w:rFonts w:eastAsia="標楷體" w:hint="eastAsia"/>
          <w:sz w:val="20"/>
        </w:rPr>
        <w:t>7</w:t>
      </w:r>
      <w:r w:rsidR="008C299F" w:rsidRPr="005D65CA">
        <w:rPr>
          <w:rFonts w:eastAsia="標楷體"/>
          <w:sz w:val="20"/>
        </w:rPr>
        <w:t>月</w:t>
      </w:r>
      <w:r w:rsidR="00C45ECE">
        <w:rPr>
          <w:rFonts w:eastAsia="標楷體"/>
          <w:sz w:val="20"/>
        </w:rPr>
        <w:t>30</w:t>
      </w:r>
      <w:r w:rsidR="008C299F" w:rsidRPr="005D65CA">
        <w:rPr>
          <w:rFonts w:eastAsia="標楷體"/>
          <w:sz w:val="20"/>
        </w:rPr>
        <w:t>日</w:t>
      </w:r>
    </w:p>
    <w:p w:rsidR="008C299F" w:rsidRPr="005D65CA" w:rsidRDefault="008C299F" w:rsidP="008C299F">
      <w:pPr>
        <w:jc w:val="right"/>
        <w:rPr>
          <w:rFonts w:eastAsia="標楷體"/>
          <w:sz w:val="20"/>
        </w:rPr>
      </w:pPr>
    </w:p>
    <w:p w:rsidR="008C299F" w:rsidRPr="005D65CA" w:rsidRDefault="008C299F" w:rsidP="008C299F">
      <w:pPr>
        <w:jc w:val="both"/>
        <w:rPr>
          <w:rFonts w:eastAsia="標楷體"/>
        </w:rPr>
      </w:pPr>
      <w:r w:rsidRPr="005D65CA">
        <w:rPr>
          <w:rFonts w:eastAsia="標楷體"/>
        </w:rPr>
        <w:t>第一條：目的</w:t>
      </w:r>
    </w:p>
    <w:p w:rsidR="00D24155" w:rsidRDefault="008C299F" w:rsidP="008C299F">
      <w:pPr>
        <w:pStyle w:val="a3"/>
        <w:ind w:left="964" w:firstLine="29"/>
        <w:jc w:val="both"/>
        <w:rPr>
          <w:rFonts w:eastAsia="標楷體"/>
          <w:szCs w:val="24"/>
        </w:rPr>
      </w:pPr>
      <w:r w:rsidRPr="005D65CA">
        <w:rPr>
          <w:rFonts w:eastAsia="標楷體"/>
          <w:szCs w:val="24"/>
        </w:rPr>
        <w:t>為保障資產，落實資訊公開，特訂本處理</w:t>
      </w:r>
    </w:p>
    <w:p w:rsidR="008C299F" w:rsidRPr="005D65CA" w:rsidRDefault="008C299F" w:rsidP="008C299F">
      <w:pPr>
        <w:pStyle w:val="a3"/>
        <w:ind w:left="964" w:firstLine="29"/>
        <w:jc w:val="both"/>
        <w:rPr>
          <w:rFonts w:eastAsia="標楷體"/>
          <w:szCs w:val="24"/>
        </w:rPr>
      </w:pPr>
      <w:r w:rsidRPr="005D65CA">
        <w:rPr>
          <w:rFonts w:eastAsia="標楷體"/>
          <w:szCs w:val="24"/>
        </w:rPr>
        <w:t>程序。</w:t>
      </w:r>
    </w:p>
    <w:p w:rsidR="008C299F" w:rsidRPr="005D65CA" w:rsidRDefault="008C299F" w:rsidP="008C299F">
      <w:pPr>
        <w:jc w:val="both"/>
        <w:rPr>
          <w:rFonts w:eastAsia="標楷體"/>
        </w:rPr>
      </w:pPr>
      <w:r w:rsidRPr="005D65CA">
        <w:rPr>
          <w:rFonts w:eastAsia="標楷體"/>
        </w:rPr>
        <w:t>第二條：法令依據</w:t>
      </w:r>
    </w:p>
    <w:p w:rsidR="008C299F" w:rsidRPr="005D65CA" w:rsidRDefault="008C299F" w:rsidP="008C299F">
      <w:pPr>
        <w:pStyle w:val="a3"/>
        <w:ind w:left="960" w:firstLine="33"/>
        <w:jc w:val="both"/>
        <w:rPr>
          <w:rFonts w:eastAsia="標楷體"/>
          <w:szCs w:val="24"/>
        </w:rPr>
      </w:pPr>
      <w:r w:rsidRPr="005D65CA">
        <w:rPr>
          <w:rFonts w:eastAsia="標楷體"/>
          <w:szCs w:val="24"/>
        </w:rPr>
        <w:t>本處理程序係依證券交易法第三十六條之一及主管機關「公開發行公司取得或處分資產處理準則」有關規定訂定。</w:t>
      </w:r>
    </w:p>
    <w:p w:rsidR="008C299F" w:rsidRPr="005D65CA" w:rsidRDefault="008C299F" w:rsidP="008C299F">
      <w:pPr>
        <w:jc w:val="both"/>
        <w:rPr>
          <w:rFonts w:eastAsia="標楷體"/>
        </w:rPr>
      </w:pPr>
      <w:r w:rsidRPr="005D65CA">
        <w:rPr>
          <w:rFonts w:eastAsia="標楷體"/>
        </w:rPr>
        <w:t>第三條：資產範圍</w:t>
      </w:r>
    </w:p>
    <w:p w:rsidR="008C299F" w:rsidRPr="005D65CA" w:rsidRDefault="008C299F" w:rsidP="00E76535">
      <w:pPr>
        <w:ind w:left="1497" w:hanging="488"/>
        <w:jc w:val="both"/>
        <w:rPr>
          <w:rFonts w:eastAsia="標楷體"/>
        </w:rPr>
      </w:pPr>
      <w:r w:rsidRPr="005D65CA">
        <w:rPr>
          <w:rFonts w:eastAsia="標楷體"/>
        </w:rPr>
        <w:t>一、有價證券：包括股票、公債、公司債、金融債券、表彰基金之有價證券、存託憑證、認購</w:t>
      </w:r>
      <w:r w:rsidRPr="005D65CA">
        <w:rPr>
          <w:rFonts w:eastAsia="標楷體"/>
        </w:rPr>
        <w:t>(</w:t>
      </w:r>
      <w:r w:rsidRPr="005D65CA">
        <w:rPr>
          <w:rFonts w:eastAsia="標楷體"/>
        </w:rPr>
        <w:t>售</w:t>
      </w:r>
      <w:r w:rsidRPr="005D65CA">
        <w:rPr>
          <w:rFonts w:eastAsia="標楷體"/>
        </w:rPr>
        <w:t>)</w:t>
      </w:r>
      <w:r w:rsidRPr="005D65CA">
        <w:rPr>
          <w:rFonts w:eastAsia="標楷體"/>
        </w:rPr>
        <w:t>權證、受益證券及資產基礎證券等投資。</w:t>
      </w:r>
    </w:p>
    <w:p w:rsidR="008C299F" w:rsidRPr="005D65CA" w:rsidRDefault="008C299F" w:rsidP="00E76535">
      <w:pPr>
        <w:tabs>
          <w:tab w:val="left" w:pos="1435"/>
        </w:tabs>
        <w:ind w:left="1497" w:hanging="490"/>
        <w:jc w:val="both"/>
        <w:rPr>
          <w:rFonts w:eastAsia="標楷體"/>
        </w:rPr>
      </w:pPr>
      <w:r w:rsidRPr="005D65CA">
        <w:rPr>
          <w:rFonts w:eastAsia="標楷體"/>
        </w:rPr>
        <w:t>二、不動產</w:t>
      </w:r>
      <w:r w:rsidRPr="005D65CA">
        <w:rPr>
          <w:rFonts w:eastAsia="標楷體"/>
        </w:rPr>
        <w:t>(</w:t>
      </w:r>
      <w:r w:rsidRPr="005D65CA">
        <w:rPr>
          <w:rFonts w:eastAsia="標楷體"/>
        </w:rPr>
        <w:t>含土地、房屋及建築、投資性不動產、土地使用權、營建業之存貨</w:t>
      </w:r>
      <w:r w:rsidRPr="005D65CA">
        <w:rPr>
          <w:rFonts w:eastAsia="標楷體"/>
        </w:rPr>
        <w:t>)</w:t>
      </w:r>
      <w:r w:rsidRPr="005D65CA">
        <w:rPr>
          <w:rFonts w:eastAsia="標楷體"/>
        </w:rPr>
        <w:t>及設備。</w:t>
      </w:r>
    </w:p>
    <w:p w:rsidR="008C299F" w:rsidRPr="005D65CA" w:rsidRDefault="008C299F" w:rsidP="00E76535">
      <w:pPr>
        <w:tabs>
          <w:tab w:val="left" w:pos="1435"/>
        </w:tabs>
        <w:ind w:left="1497" w:hanging="490"/>
        <w:jc w:val="both"/>
        <w:rPr>
          <w:rFonts w:eastAsia="標楷體"/>
        </w:rPr>
      </w:pPr>
      <w:r w:rsidRPr="005D65CA">
        <w:rPr>
          <w:rFonts w:eastAsia="標楷體"/>
        </w:rPr>
        <w:t>三、會員證。</w:t>
      </w:r>
    </w:p>
    <w:p w:rsidR="008C299F" w:rsidRPr="005D65CA" w:rsidRDefault="008C299F" w:rsidP="00E76535">
      <w:pPr>
        <w:ind w:left="1497" w:hanging="490"/>
        <w:jc w:val="both"/>
        <w:rPr>
          <w:rFonts w:eastAsia="標楷體"/>
        </w:rPr>
      </w:pPr>
      <w:r w:rsidRPr="005D65CA">
        <w:rPr>
          <w:rFonts w:eastAsia="標楷體"/>
        </w:rPr>
        <w:t>四、無形資產：包括專利權、著作權、商標權、特許權等無形資產。</w:t>
      </w:r>
    </w:p>
    <w:p w:rsidR="008C299F" w:rsidRPr="005D65CA" w:rsidRDefault="008C299F" w:rsidP="00E76535">
      <w:pPr>
        <w:ind w:left="1497" w:hanging="490"/>
        <w:jc w:val="both"/>
        <w:rPr>
          <w:rFonts w:eastAsia="標楷體"/>
        </w:rPr>
      </w:pPr>
      <w:r w:rsidRPr="005D65CA">
        <w:rPr>
          <w:rFonts w:eastAsia="標楷體"/>
        </w:rPr>
        <w:t>五、金融機構之債權（含應收款項、買匯貼現及放款、催收款項）。</w:t>
      </w:r>
    </w:p>
    <w:p w:rsidR="008C299F" w:rsidRPr="005D65CA" w:rsidRDefault="008C299F" w:rsidP="00E76535">
      <w:pPr>
        <w:ind w:left="1497" w:hanging="490"/>
        <w:jc w:val="both"/>
        <w:rPr>
          <w:rFonts w:eastAsia="標楷體"/>
        </w:rPr>
      </w:pPr>
      <w:r w:rsidRPr="005D65CA">
        <w:rPr>
          <w:rFonts w:eastAsia="標楷體"/>
        </w:rPr>
        <w:t>六、衍生性商品。</w:t>
      </w:r>
    </w:p>
    <w:p w:rsidR="008C299F" w:rsidRPr="005D65CA" w:rsidRDefault="008C299F" w:rsidP="00E76535">
      <w:pPr>
        <w:ind w:left="1497" w:hanging="490"/>
        <w:jc w:val="both"/>
        <w:rPr>
          <w:rFonts w:eastAsia="標楷體"/>
        </w:rPr>
      </w:pPr>
      <w:r w:rsidRPr="005D65CA">
        <w:rPr>
          <w:rFonts w:eastAsia="標楷體"/>
        </w:rPr>
        <w:t>七、依法律合併、分割、收購或股份受讓而取得或處分之資產。</w:t>
      </w:r>
    </w:p>
    <w:p w:rsidR="008C299F" w:rsidRPr="005D65CA" w:rsidRDefault="008C299F" w:rsidP="00E76535">
      <w:pPr>
        <w:ind w:left="1497" w:hanging="490"/>
        <w:jc w:val="both"/>
        <w:rPr>
          <w:rFonts w:eastAsia="標楷體"/>
        </w:rPr>
      </w:pPr>
      <w:r w:rsidRPr="005D65CA">
        <w:rPr>
          <w:rFonts w:eastAsia="標楷體"/>
        </w:rPr>
        <w:t>八、其他重要資產。</w:t>
      </w:r>
    </w:p>
    <w:p w:rsidR="008C299F" w:rsidRPr="005D65CA" w:rsidRDefault="008C299F" w:rsidP="008C299F">
      <w:pPr>
        <w:tabs>
          <w:tab w:val="left" w:pos="1380"/>
        </w:tabs>
        <w:ind w:left="960" w:hangingChars="400" w:hanging="960"/>
        <w:jc w:val="both"/>
        <w:rPr>
          <w:rFonts w:eastAsia="標楷體"/>
        </w:rPr>
      </w:pPr>
      <w:r w:rsidRPr="005D65CA">
        <w:rPr>
          <w:rFonts w:eastAsia="標楷體"/>
        </w:rPr>
        <w:t>第四條：本處理程序之名詞定義悉依主管機關「公開發行公司取得或處分資產處理準則」之規定。</w:t>
      </w:r>
    </w:p>
    <w:p w:rsidR="008C299F" w:rsidRPr="005D65CA" w:rsidRDefault="008C299F" w:rsidP="008C299F">
      <w:pPr>
        <w:ind w:left="960" w:hanging="960"/>
        <w:jc w:val="both"/>
        <w:rPr>
          <w:rFonts w:eastAsia="標楷體"/>
        </w:rPr>
      </w:pPr>
      <w:r w:rsidRPr="005D65CA">
        <w:rPr>
          <w:rFonts w:eastAsia="標楷體"/>
        </w:rPr>
        <w:t>第五條：本公司依本處理程序應取得估</w:t>
      </w:r>
      <w:r w:rsidRPr="005D65CA">
        <w:rPr>
          <w:rFonts w:eastAsia="標楷體"/>
        </w:rPr>
        <w:t>(</w:t>
      </w:r>
      <w:r w:rsidRPr="005D65CA">
        <w:rPr>
          <w:rFonts w:eastAsia="標楷體"/>
        </w:rPr>
        <w:t>鑑</w:t>
      </w:r>
      <w:r w:rsidRPr="005D65CA">
        <w:rPr>
          <w:rFonts w:eastAsia="標楷體"/>
        </w:rPr>
        <w:t>)</w:t>
      </w:r>
      <w:r w:rsidRPr="005D65CA">
        <w:rPr>
          <w:rFonts w:eastAsia="標楷體"/>
        </w:rPr>
        <w:t>價報告或會計師、律師或證券承銷商之意見書者，出具該估</w:t>
      </w:r>
      <w:r w:rsidRPr="005D65CA">
        <w:rPr>
          <w:rFonts w:eastAsia="標楷體"/>
        </w:rPr>
        <w:t>(</w:t>
      </w:r>
      <w:r w:rsidRPr="005D65CA">
        <w:rPr>
          <w:rFonts w:eastAsia="標楷體"/>
        </w:rPr>
        <w:t>鑑</w:t>
      </w:r>
      <w:r w:rsidRPr="005D65CA">
        <w:rPr>
          <w:rFonts w:eastAsia="標楷體"/>
        </w:rPr>
        <w:t>)</w:t>
      </w:r>
      <w:r w:rsidRPr="005D65CA">
        <w:rPr>
          <w:rFonts w:eastAsia="標楷體"/>
        </w:rPr>
        <w:t>價報告或意見書之專業估</w:t>
      </w:r>
      <w:r w:rsidRPr="005D65CA">
        <w:rPr>
          <w:rFonts w:eastAsia="標楷體"/>
        </w:rPr>
        <w:t>(</w:t>
      </w:r>
      <w:r w:rsidRPr="005D65CA">
        <w:rPr>
          <w:rFonts w:eastAsia="標楷體"/>
        </w:rPr>
        <w:t>鑑</w:t>
      </w:r>
      <w:r w:rsidRPr="005D65CA">
        <w:rPr>
          <w:rFonts w:eastAsia="標楷體"/>
        </w:rPr>
        <w:t>)</w:t>
      </w:r>
      <w:r w:rsidRPr="005D65CA">
        <w:rPr>
          <w:rFonts w:eastAsia="標楷體"/>
        </w:rPr>
        <w:t>價者及其估</w:t>
      </w:r>
      <w:r w:rsidRPr="005D65CA">
        <w:rPr>
          <w:rFonts w:eastAsia="標楷體"/>
        </w:rPr>
        <w:t>(</w:t>
      </w:r>
      <w:r w:rsidRPr="005D65CA">
        <w:rPr>
          <w:rFonts w:eastAsia="標楷體"/>
        </w:rPr>
        <w:t>鑑</w:t>
      </w:r>
      <w:r w:rsidRPr="005D65CA">
        <w:rPr>
          <w:rFonts w:eastAsia="標楷體"/>
        </w:rPr>
        <w:t>)</w:t>
      </w:r>
      <w:r w:rsidRPr="005D65CA">
        <w:rPr>
          <w:rFonts w:eastAsia="標楷體"/>
        </w:rPr>
        <w:t>價人員、會計師、律師或證券承銷商與交易當事人不得為關係人。</w:t>
      </w:r>
    </w:p>
    <w:p w:rsidR="008C299F" w:rsidRPr="005D65CA" w:rsidRDefault="008C299F" w:rsidP="008C299F">
      <w:pPr>
        <w:pStyle w:val="a5"/>
        <w:ind w:left="960" w:hangingChars="400" w:hanging="960"/>
        <w:rPr>
          <w:rFonts w:eastAsia="標楷體"/>
          <w:sz w:val="24"/>
          <w:szCs w:val="24"/>
        </w:rPr>
      </w:pPr>
      <w:r w:rsidRPr="005D65CA">
        <w:rPr>
          <w:rFonts w:eastAsia="標楷體"/>
          <w:sz w:val="24"/>
          <w:szCs w:val="24"/>
        </w:rPr>
        <w:t>第六條：本公司係經法院拍賣程序取得或處分資產者，得以法院所出具之證明文件替代估價報告或會計師意見。</w:t>
      </w:r>
    </w:p>
    <w:p w:rsidR="008C299F" w:rsidRPr="005D65CA" w:rsidRDefault="008C299F" w:rsidP="008C299F">
      <w:pPr>
        <w:pStyle w:val="a5"/>
        <w:rPr>
          <w:rFonts w:eastAsia="標楷體"/>
          <w:sz w:val="24"/>
          <w:szCs w:val="24"/>
        </w:rPr>
      </w:pPr>
      <w:r w:rsidRPr="005D65CA">
        <w:rPr>
          <w:rFonts w:eastAsia="標楷體"/>
          <w:sz w:val="24"/>
          <w:szCs w:val="24"/>
        </w:rPr>
        <w:t>第七條：取得或處分不動產或</w:t>
      </w:r>
      <w:r w:rsidRPr="005D65CA">
        <w:rPr>
          <w:rFonts w:eastAsia="標楷體"/>
        </w:rPr>
        <w:t>設備</w:t>
      </w:r>
      <w:r w:rsidRPr="005D65CA">
        <w:rPr>
          <w:rFonts w:eastAsia="標楷體"/>
          <w:sz w:val="24"/>
          <w:szCs w:val="24"/>
        </w:rPr>
        <w:t>之處理程序</w:t>
      </w:r>
    </w:p>
    <w:p w:rsidR="008C299F" w:rsidRPr="005D65CA" w:rsidRDefault="008C299F" w:rsidP="008C299F">
      <w:pPr>
        <w:pStyle w:val="a5"/>
        <w:ind w:left="1440" w:hanging="480"/>
        <w:rPr>
          <w:rFonts w:eastAsia="標楷體"/>
          <w:sz w:val="24"/>
          <w:szCs w:val="24"/>
        </w:rPr>
      </w:pPr>
      <w:r w:rsidRPr="005D65CA">
        <w:rPr>
          <w:rFonts w:eastAsia="標楷體"/>
          <w:sz w:val="24"/>
          <w:szCs w:val="24"/>
        </w:rPr>
        <w:t>一、評估及作業程序</w:t>
      </w:r>
    </w:p>
    <w:p w:rsidR="008C299F" w:rsidRPr="005D65CA" w:rsidRDefault="008C299F" w:rsidP="008C299F">
      <w:pPr>
        <w:ind w:left="1440"/>
        <w:jc w:val="both"/>
        <w:rPr>
          <w:rFonts w:eastAsia="標楷體"/>
        </w:rPr>
      </w:pPr>
      <w:r w:rsidRPr="005D65CA">
        <w:rPr>
          <w:rFonts w:eastAsia="標楷體"/>
        </w:rPr>
        <w:t>本公司取得或處分不動產及設備，悉依本公司內部控制制度之固定資產循環程序辦理。</w:t>
      </w:r>
    </w:p>
    <w:p w:rsidR="008C299F" w:rsidRPr="005D65CA" w:rsidRDefault="008C299F" w:rsidP="008C299F">
      <w:pPr>
        <w:pStyle w:val="a5"/>
        <w:ind w:left="1440" w:hanging="480"/>
        <w:rPr>
          <w:rFonts w:eastAsia="標楷體"/>
          <w:sz w:val="24"/>
          <w:szCs w:val="24"/>
        </w:rPr>
      </w:pPr>
      <w:r w:rsidRPr="005D65CA">
        <w:rPr>
          <w:rFonts w:eastAsia="標楷體"/>
          <w:sz w:val="24"/>
          <w:szCs w:val="24"/>
        </w:rPr>
        <w:t>二、交易條件及授權額度之決定程序</w:t>
      </w:r>
    </w:p>
    <w:p w:rsidR="008C299F" w:rsidRPr="005D65CA" w:rsidRDefault="008C299F" w:rsidP="00E76535">
      <w:pPr>
        <w:ind w:left="1928" w:hanging="510"/>
        <w:jc w:val="both"/>
        <w:rPr>
          <w:rFonts w:eastAsia="標楷體"/>
        </w:rPr>
      </w:pPr>
      <w:r w:rsidRPr="005D65CA">
        <w:rPr>
          <w:rFonts w:eastAsia="標楷體"/>
        </w:rPr>
        <w:t>(</w:t>
      </w:r>
      <w:r w:rsidRPr="005D65CA">
        <w:rPr>
          <w:rFonts w:eastAsia="標楷體"/>
        </w:rPr>
        <w:t>一</w:t>
      </w:r>
      <w:r w:rsidRPr="005D65CA">
        <w:rPr>
          <w:rFonts w:eastAsia="標楷體"/>
        </w:rPr>
        <w:t>)</w:t>
      </w:r>
      <w:r w:rsidR="00E76535">
        <w:rPr>
          <w:rFonts w:eastAsia="標楷體"/>
        </w:rPr>
        <w:t xml:space="preserve"> </w:t>
      </w:r>
      <w:r w:rsidRPr="005D65CA">
        <w:rPr>
          <w:rFonts w:eastAsia="標楷體"/>
        </w:rPr>
        <w:t>取得或處分不動產，應參考公告現值、評定價值、鄰近不動產實際交易價格等，決議交易條件及交易價格，並依據本公司核</w:t>
      </w:r>
      <w:r w:rsidRPr="005D65CA">
        <w:rPr>
          <w:rFonts w:eastAsia="標楷體"/>
        </w:rPr>
        <w:lastRenderedPageBreak/>
        <w:t>決權限之規定，由相關單位主管分層負責辦理。如每筆交易金額達新臺幣參仟萬以上者，應提經董事會決議後辦理。惟董事會得授權董事長核決辦理，事後再提報董事會。</w:t>
      </w:r>
    </w:p>
    <w:p w:rsidR="008C299F" w:rsidRPr="005D65CA" w:rsidRDefault="008C299F" w:rsidP="00E76535">
      <w:pPr>
        <w:ind w:left="1928" w:hanging="510"/>
        <w:jc w:val="both"/>
        <w:rPr>
          <w:rFonts w:eastAsia="標楷體"/>
        </w:rPr>
      </w:pPr>
      <w:r w:rsidRPr="005D65CA">
        <w:rPr>
          <w:rFonts w:eastAsia="標楷體"/>
        </w:rPr>
        <w:t>(</w:t>
      </w:r>
      <w:r w:rsidRPr="005D65CA">
        <w:rPr>
          <w:rFonts w:eastAsia="標楷體"/>
        </w:rPr>
        <w:t>二</w:t>
      </w:r>
      <w:r w:rsidRPr="005D65CA">
        <w:rPr>
          <w:rFonts w:eastAsia="標楷體"/>
        </w:rPr>
        <w:t>)</w:t>
      </w:r>
      <w:r w:rsidR="00E76535">
        <w:rPr>
          <w:rFonts w:eastAsia="標楷體"/>
        </w:rPr>
        <w:t xml:space="preserve"> </w:t>
      </w:r>
      <w:r w:rsidRPr="005D65CA">
        <w:rPr>
          <w:rFonts w:eastAsia="標楷體"/>
        </w:rPr>
        <w:t>取得或處分設備，應以詢價、比價、議價或招標方式擇一為之，並依據本公司核決權限之規定，由相關單位主管分層負責辦理。如每筆交易金額達新臺幣參仟萬以上者，應提經董事會決議後辦理。惟董事會得授權董事長核決辦理，事後再提報董事會。</w:t>
      </w:r>
    </w:p>
    <w:p w:rsidR="008C299F" w:rsidRPr="005D65CA" w:rsidRDefault="008C299F" w:rsidP="00E76535">
      <w:pPr>
        <w:ind w:left="1928" w:hanging="510"/>
        <w:jc w:val="both"/>
        <w:rPr>
          <w:rFonts w:eastAsia="標楷體"/>
        </w:rPr>
      </w:pPr>
      <w:r w:rsidRPr="005D65CA">
        <w:rPr>
          <w:rFonts w:eastAsia="標楷體"/>
        </w:rPr>
        <w:t>(</w:t>
      </w:r>
      <w:r w:rsidRPr="005D65CA">
        <w:rPr>
          <w:rFonts w:eastAsia="標楷體"/>
        </w:rPr>
        <w:t>三</w:t>
      </w:r>
      <w:r w:rsidRPr="005D65CA">
        <w:rPr>
          <w:rFonts w:eastAsia="標楷體"/>
        </w:rPr>
        <w:t>)</w:t>
      </w:r>
      <w:r w:rsidR="00E76535">
        <w:rPr>
          <w:rFonts w:eastAsia="標楷體"/>
        </w:rPr>
        <w:t xml:space="preserve"> </w:t>
      </w:r>
      <w:r w:rsidRPr="005D65CA">
        <w:rPr>
          <w:rFonts w:eastAsia="標楷體"/>
        </w:rPr>
        <w:t>本公司或各子公司個別取得非供營業使用之不動產，其總額不得高於各該公司實收資本額的百分之十。</w:t>
      </w:r>
    </w:p>
    <w:p w:rsidR="008C299F" w:rsidRPr="005D65CA" w:rsidRDefault="008C299F" w:rsidP="008C299F">
      <w:pPr>
        <w:pStyle w:val="a5"/>
        <w:ind w:left="993"/>
        <w:rPr>
          <w:rFonts w:eastAsia="標楷體"/>
          <w:sz w:val="24"/>
          <w:szCs w:val="24"/>
        </w:rPr>
      </w:pPr>
      <w:r w:rsidRPr="005D65CA">
        <w:rPr>
          <w:rFonts w:eastAsia="標楷體"/>
          <w:sz w:val="24"/>
          <w:szCs w:val="24"/>
        </w:rPr>
        <w:t>三、執行單位</w:t>
      </w:r>
    </w:p>
    <w:p w:rsidR="008C299F" w:rsidRPr="005D65CA" w:rsidRDefault="008C299F" w:rsidP="008C299F">
      <w:pPr>
        <w:ind w:left="1418"/>
        <w:jc w:val="both"/>
        <w:rPr>
          <w:rFonts w:eastAsia="標楷體"/>
        </w:rPr>
      </w:pPr>
      <w:r w:rsidRPr="005D65CA">
        <w:rPr>
          <w:rFonts w:eastAsia="標楷體"/>
        </w:rPr>
        <w:t>本公司取得或處分不動產或設備時，應依公司核決權限呈核決後，由使用部門或行政部門負責執行。</w:t>
      </w:r>
    </w:p>
    <w:p w:rsidR="008C299F" w:rsidRPr="005D65CA" w:rsidRDefault="008C299F" w:rsidP="008C299F">
      <w:pPr>
        <w:pStyle w:val="a5"/>
        <w:ind w:left="993"/>
        <w:rPr>
          <w:rFonts w:eastAsia="標楷體"/>
          <w:sz w:val="24"/>
          <w:szCs w:val="24"/>
        </w:rPr>
      </w:pPr>
      <w:r w:rsidRPr="005D65CA">
        <w:rPr>
          <w:rFonts w:eastAsia="標楷體"/>
          <w:sz w:val="24"/>
          <w:szCs w:val="24"/>
        </w:rPr>
        <w:t>四、不動產或設備估價報告</w:t>
      </w:r>
    </w:p>
    <w:p w:rsidR="008C299F" w:rsidRPr="005D65CA" w:rsidRDefault="00584C34" w:rsidP="008C299F">
      <w:pPr>
        <w:ind w:left="1418"/>
        <w:jc w:val="both"/>
        <w:rPr>
          <w:rFonts w:eastAsia="標楷體"/>
        </w:rPr>
      </w:pPr>
      <w:r w:rsidRPr="003978E8">
        <w:rPr>
          <w:rFonts w:ascii="標楷體" w:eastAsia="標楷體" w:hAnsi="標楷體" w:hint="eastAsia"/>
          <w:szCs w:val="22"/>
        </w:rPr>
        <w:t>本公司取得或處分不動產或設備，除與政府機</w:t>
      </w:r>
      <w:r w:rsidRPr="003978E8">
        <w:rPr>
          <w:rFonts w:ascii="標楷體" w:eastAsia="標楷體" w:hAnsi="標楷體" w:hint="eastAsia"/>
          <w:szCs w:val="22"/>
          <w:u w:val="single"/>
        </w:rPr>
        <w:t>關</w:t>
      </w:r>
      <w:r w:rsidRPr="003978E8">
        <w:rPr>
          <w:rFonts w:ascii="標楷體" w:eastAsia="標楷體" w:hAnsi="標楷體" w:hint="eastAsia"/>
          <w:szCs w:val="22"/>
        </w:rPr>
        <w:t>交易、自地委建或取得、處分供營業使用之機器設備外，交易金額達實收資本額百分之二十或新台幣三億元以上者，應於事實發生日前洽請專業鑑價機構出具鑑價報告，並應符合下列規定：</w:t>
      </w:r>
    </w:p>
    <w:p w:rsidR="008C299F" w:rsidRPr="005D65CA" w:rsidRDefault="008C299F" w:rsidP="00E76535">
      <w:pPr>
        <w:ind w:leftChars="590" w:left="1896" w:hangingChars="200" w:hanging="480"/>
        <w:jc w:val="both"/>
        <w:rPr>
          <w:rFonts w:eastAsia="標楷體"/>
        </w:rPr>
      </w:pPr>
      <w:r w:rsidRPr="005D65CA">
        <w:rPr>
          <w:rFonts w:eastAsia="標楷體"/>
        </w:rPr>
        <w:t>(</w:t>
      </w:r>
      <w:r w:rsidRPr="005D65CA">
        <w:rPr>
          <w:rFonts w:eastAsia="標楷體"/>
        </w:rPr>
        <w:t>一</w:t>
      </w:r>
      <w:r w:rsidRPr="005D65CA">
        <w:rPr>
          <w:rFonts w:eastAsia="標楷體"/>
        </w:rPr>
        <w:t>)</w:t>
      </w:r>
      <w:r w:rsidR="00E76535">
        <w:rPr>
          <w:rFonts w:eastAsia="標楷體"/>
        </w:rPr>
        <w:t xml:space="preserve"> </w:t>
      </w:r>
      <w:r w:rsidRPr="005D65CA">
        <w:rPr>
          <w:rFonts w:eastAsia="標楷體"/>
        </w:rPr>
        <w:t>因特殊原因須以限定價格、特定價格或特殊價格作為交易價格之參考依據時，該項交易應先提經董事會決議通過；未來交易條件變更，亦應比照上開程序辦理。</w:t>
      </w:r>
    </w:p>
    <w:p w:rsidR="008C299F" w:rsidRPr="005D65CA" w:rsidRDefault="008C299F" w:rsidP="00E76535">
      <w:pPr>
        <w:ind w:leftChars="590" w:left="1896" w:hangingChars="200" w:hanging="480"/>
        <w:jc w:val="both"/>
        <w:rPr>
          <w:rFonts w:eastAsia="標楷體"/>
        </w:rPr>
      </w:pPr>
      <w:r w:rsidRPr="005D65CA">
        <w:rPr>
          <w:rFonts w:eastAsia="標楷體"/>
        </w:rPr>
        <w:t>(</w:t>
      </w:r>
      <w:r w:rsidRPr="005D65CA">
        <w:rPr>
          <w:rFonts w:eastAsia="標楷體"/>
        </w:rPr>
        <w:t>二</w:t>
      </w:r>
      <w:r w:rsidRPr="005D65CA">
        <w:rPr>
          <w:rFonts w:eastAsia="標楷體"/>
        </w:rPr>
        <w:t>)</w:t>
      </w:r>
      <w:r w:rsidR="00E76535">
        <w:rPr>
          <w:rFonts w:eastAsia="標楷體"/>
        </w:rPr>
        <w:t xml:space="preserve"> </w:t>
      </w:r>
      <w:r w:rsidRPr="005D65CA">
        <w:rPr>
          <w:rFonts w:eastAsia="標楷體"/>
        </w:rPr>
        <w:t>交易金額達新臺幣十億元以上，應請二家以上之專業估價者估價。</w:t>
      </w:r>
    </w:p>
    <w:p w:rsidR="008C299F" w:rsidRPr="005D65CA" w:rsidRDefault="008C299F" w:rsidP="006E7649">
      <w:pPr>
        <w:ind w:leftChars="590" w:left="1896" w:hangingChars="200" w:hanging="480"/>
        <w:jc w:val="both"/>
        <w:rPr>
          <w:rFonts w:eastAsia="標楷體"/>
        </w:rPr>
      </w:pPr>
      <w:r w:rsidRPr="005D65CA">
        <w:rPr>
          <w:rFonts w:eastAsia="標楷體"/>
        </w:rPr>
        <w:t>(</w:t>
      </w:r>
      <w:r w:rsidRPr="005D65CA">
        <w:rPr>
          <w:rFonts w:eastAsia="標楷體"/>
        </w:rPr>
        <w:t>三</w:t>
      </w:r>
      <w:r w:rsidRPr="005D65CA">
        <w:rPr>
          <w:rFonts w:eastAsia="標楷體"/>
        </w:rPr>
        <w:t>)</w:t>
      </w:r>
      <w:r w:rsidR="00E76535">
        <w:rPr>
          <w:rFonts w:eastAsia="標楷體"/>
        </w:rPr>
        <w:t xml:space="preserve"> </w:t>
      </w:r>
      <w:r w:rsidRPr="005D65CA">
        <w:rPr>
          <w:rFonts w:eastAsia="標楷體"/>
        </w:rPr>
        <w:t>專業估價者之估價結果有下列情形之一，除取得資產之估價結果均高於交易金額，或處分資產之估價結果均低於交易金額外，應洽請會計師依財團法人中華民國會計研究發展基金會</w:t>
      </w:r>
      <w:r w:rsidRPr="005D65CA">
        <w:rPr>
          <w:rFonts w:eastAsia="標楷體"/>
        </w:rPr>
        <w:t>(</w:t>
      </w:r>
      <w:r w:rsidRPr="005D65CA">
        <w:rPr>
          <w:rFonts w:eastAsia="標楷體"/>
        </w:rPr>
        <w:t>以下簡稱會計研究發展基金會</w:t>
      </w:r>
      <w:r w:rsidRPr="005D65CA">
        <w:rPr>
          <w:rFonts w:eastAsia="標楷體"/>
        </w:rPr>
        <w:t>)</w:t>
      </w:r>
      <w:r w:rsidRPr="005D65CA">
        <w:rPr>
          <w:rFonts w:eastAsia="標楷體"/>
        </w:rPr>
        <w:t>所發布之審計準則規定辦理，並對差異原因及交易價格之允當性表示具體意見：</w:t>
      </w:r>
    </w:p>
    <w:p w:rsidR="008C299F" w:rsidRPr="005D65CA" w:rsidRDefault="008C299F" w:rsidP="006E7649">
      <w:pPr>
        <w:ind w:leftChars="804" w:left="2410" w:hangingChars="200" w:hanging="480"/>
        <w:jc w:val="both"/>
        <w:rPr>
          <w:rFonts w:eastAsia="標楷體"/>
        </w:rPr>
      </w:pPr>
      <w:r w:rsidRPr="005D65CA">
        <w:rPr>
          <w:rFonts w:eastAsia="標楷體"/>
        </w:rPr>
        <w:t>1.</w:t>
      </w:r>
      <w:r w:rsidRPr="005D65CA">
        <w:rPr>
          <w:rFonts w:eastAsia="標楷體"/>
        </w:rPr>
        <w:t>估價結果與交易金額差距達交易金額之百分之二十以上。</w:t>
      </w:r>
    </w:p>
    <w:p w:rsidR="008C299F" w:rsidRPr="005D65CA" w:rsidRDefault="008C299F" w:rsidP="006E7649">
      <w:pPr>
        <w:ind w:leftChars="803" w:left="2124" w:hangingChars="82" w:hanging="197"/>
        <w:jc w:val="both"/>
        <w:rPr>
          <w:rFonts w:eastAsia="標楷體"/>
        </w:rPr>
      </w:pPr>
      <w:r w:rsidRPr="005D65CA">
        <w:rPr>
          <w:rFonts w:eastAsia="標楷體"/>
        </w:rPr>
        <w:t>2.</w:t>
      </w:r>
      <w:r w:rsidRPr="005D65CA">
        <w:rPr>
          <w:rFonts w:eastAsia="標楷體"/>
        </w:rPr>
        <w:t>二家以上專業估價者之估價結果差距達交易金額百分之十以上。</w:t>
      </w:r>
    </w:p>
    <w:p w:rsidR="008C299F" w:rsidRPr="005D65CA" w:rsidRDefault="008C299F" w:rsidP="006E7649">
      <w:pPr>
        <w:ind w:leftChars="590" w:left="1896" w:hangingChars="200" w:hanging="480"/>
        <w:jc w:val="both"/>
        <w:rPr>
          <w:rFonts w:eastAsia="標楷體"/>
        </w:rPr>
      </w:pPr>
      <w:r w:rsidRPr="005D65CA">
        <w:rPr>
          <w:rFonts w:eastAsia="標楷體"/>
        </w:rPr>
        <w:t>(</w:t>
      </w:r>
      <w:r w:rsidRPr="005D65CA">
        <w:rPr>
          <w:rFonts w:eastAsia="標楷體"/>
        </w:rPr>
        <w:t>四</w:t>
      </w:r>
      <w:r w:rsidRPr="005D65CA">
        <w:rPr>
          <w:rFonts w:eastAsia="標楷體"/>
        </w:rPr>
        <w:t>)</w:t>
      </w:r>
      <w:r w:rsidR="006E7649">
        <w:rPr>
          <w:rFonts w:eastAsia="標楷體"/>
        </w:rPr>
        <w:t xml:space="preserve"> </w:t>
      </w:r>
      <w:r w:rsidRPr="005D65CA">
        <w:rPr>
          <w:rFonts w:eastAsia="標楷體"/>
        </w:rPr>
        <w:t>專業估價者出具報告日期與契約簽訂日期不得逾三個月。但如其適用同一期公告現值且未逾六個月者，得由原專業估價者出具意見書。</w:t>
      </w:r>
    </w:p>
    <w:p w:rsidR="008C299F" w:rsidRPr="005D65CA" w:rsidRDefault="008C299F" w:rsidP="008C299F">
      <w:pPr>
        <w:jc w:val="both"/>
        <w:rPr>
          <w:rFonts w:eastAsia="標楷體"/>
        </w:rPr>
      </w:pPr>
      <w:r w:rsidRPr="005D65CA">
        <w:rPr>
          <w:rFonts w:eastAsia="標楷體"/>
        </w:rPr>
        <w:t>第八條：取得或處分有價證券之處理程序</w:t>
      </w:r>
    </w:p>
    <w:p w:rsidR="008C299F" w:rsidRPr="005D65CA" w:rsidRDefault="008C299F" w:rsidP="008C299F">
      <w:pPr>
        <w:ind w:left="960"/>
        <w:jc w:val="both"/>
        <w:rPr>
          <w:rFonts w:eastAsia="標楷體"/>
        </w:rPr>
      </w:pPr>
      <w:r w:rsidRPr="005D65CA">
        <w:rPr>
          <w:rFonts w:eastAsia="標楷體"/>
        </w:rPr>
        <w:t>一、評估及作業程序</w:t>
      </w:r>
    </w:p>
    <w:p w:rsidR="008C299F" w:rsidRPr="005D65CA" w:rsidRDefault="008C299F" w:rsidP="008C299F">
      <w:pPr>
        <w:ind w:left="1440"/>
        <w:jc w:val="both"/>
        <w:rPr>
          <w:rFonts w:eastAsia="標楷體"/>
        </w:rPr>
      </w:pPr>
      <w:r w:rsidRPr="005D65CA">
        <w:rPr>
          <w:rFonts w:eastAsia="標楷體"/>
        </w:rPr>
        <w:t>本公司有價證券之購買與出售，悉依本公司內部控制制度之投資循環作業辦理。</w:t>
      </w:r>
    </w:p>
    <w:p w:rsidR="008C299F" w:rsidRPr="005D65CA" w:rsidRDefault="008C299F" w:rsidP="008C299F">
      <w:pPr>
        <w:ind w:left="960"/>
        <w:jc w:val="both"/>
        <w:rPr>
          <w:rFonts w:eastAsia="標楷體"/>
        </w:rPr>
      </w:pPr>
      <w:r w:rsidRPr="005D65CA">
        <w:rPr>
          <w:rFonts w:eastAsia="標楷體"/>
        </w:rPr>
        <w:t>二、交易條件及授權額度之決定程序</w:t>
      </w:r>
    </w:p>
    <w:p w:rsidR="008C299F" w:rsidRPr="005D65CA" w:rsidRDefault="008C299F" w:rsidP="006E7649">
      <w:pPr>
        <w:ind w:left="1843" w:hanging="567"/>
        <w:jc w:val="both"/>
        <w:rPr>
          <w:rFonts w:eastAsia="標楷體"/>
        </w:rPr>
      </w:pPr>
      <w:r w:rsidRPr="005D65CA">
        <w:rPr>
          <w:rFonts w:eastAsia="標楷體"/>
        </w:rPr>
        <w:lastRenderedPageBreak/>
        <w:t>(</w:t>
      </w:r>
      <w:r w:rsidRPr="005D65CA">
        <w:rPr>
          <w:rFonts w:eastAsia="標楷體"/>
        </w:rPr>
        <w:t>一</w:t>
      </w:r>
      <w:r w:rsidRPr="005D65CA">
        <w:rPr>
          <w:rFonts w:eastAsia="標楷體"/>
        </w:rPr>
        <w:t>)</w:t>
      </w:r>
      <w:r w:rsidR="006E7649">
        <w:rPr>
          <w:rFonts w:eastAsia="標楷體"/>
        </w:rPr>
        <w:t xml:space="preserve"> </w:t>
      </w:r>
      <w:r w:rsidRPr="005D65CA">
        <w:rPr>
          <w:rFonts w:eastAsia="標楷體"/>
        </w:rPr>
        <w:t>於集中交易市場或證券商營業處所為之有價證券買賣，應由負責單位依市場行情研判決定之，並依據本公司核決權限之規定，由相關單位主管分層負責辦理。</w:t>
      </w:r>
    </w:p>
    <w:p w:rsidR="008C299F" w:rsidRPr="005D65CA" w:rsidRDefault="008C299F" w:rsidP="006E7649">
      <w:pPr>
        <w:ind w:left="1843" w:hanging="567"/>
        <w:jc w:val="both"/>
        <w:rPr>
          <w:rFonts w:eastAsia="標楷體"/>
        </w:rPr>
      </w:pPr>
      <w:r w:rsidRPr="005D65CA">
        <w:rPr>
          <w:rFonts w:eastAsia="標楷體"/>
        </w:rPr>
        <w:t>(</w:t>
      </w:r>
      <w:r w:rsidRPr="005D65CA">
        <w:rPr>
          <w:rFonts w:eastAsia="標楷體"/>
        </w:rPr>
        <w:t>二</w:t>
      </w:r>
      <w:r w:rsidRPr="005D65CA">
        <w:rPr>
          <w:rFonts w:eastAsia="標楷體"/>
        </w:rPr>
        <w:t>)</w:t>
      </w:r>
      <w:r w:rsidR="006E7649">
        <w:rPr>
          <w:rFonts w:eastAsia="標楷體"/>
        </w:rPr>
        <w:t xml:space="preserve"> </w:t>
      </w:r>
      <w:r w:rsidRPr="005D65CA">
        <w:rPr>
          <w:rFonts w:eastAsia="標楷體"/>
        </w:rPr>
        <w:t>非於集中交易市場或證券商營業處所為之有價證券買賣，除該有價證券具有活絡市場之公開報價，或金融監督管理委員會（以下簡稱金管會）另有規定者，應於事實發生日前取得標的公司最近期經會計師查核簽證或核閱之財務報表作為評估交易價格之參考，考量其每股淨值、獲利能力及未來發展潛力等，並依據本公司核決權限之規定，由相關單位主管分層負責辦理。</w:t>
      </w:r>
    </w:p>
    <w:p w:rsidR="00E76535" w:rsidRPr="006E7649" w:rsidRDefault="008C299F" w:rsidP="006E7649">
      <w:pPr>
        <w:spacing w:line="0" w:lineRule="atLeast"/>
        <w:ind w:left="1843" w:hanging="567"/>
        <w:jc w:val="both"/>
        <w:rPr>
          <w:rFonts w:ascii="標楷體" w:eastAsia="標楷體" w:hAnsi="標楷體"/>
          <w:szCs w:val="22"/>
        </w:rPr>
      </w:pPr>
      <w:r w:rsidRPr="005D65CA">
        <w:rPr>
          <w:rFonts w:eastAsia="標楷體"/>
        </w:rPr>
        <w:t>(</w:t>
      </w:r>
      <w:r w:rsidRPr="005D65CA">
        <w:rPr>
          <w:rFonts w:eastAsia="標楷體"/>
        </w:rPr>
        <w:t>三</w:t>
      </w:r>
      <w:r w:rsidRPr="005D65CA">
        <w:rPr>
          <w:rFonts w:eastAsia="標楷體"/>
        </w:rPr>
        <w:t>)</w:t>
      </w:r>
      <w:r w:rsidR="006E7649">
        <w:rPr>
          <w:rFonts w:eastAsia="標楷體"/>
        </w:rPr>
        <w:t xml:space="preserve"> </w:t>
      </w:r>
      <w:r w:rsidR="00E76535" w:rsidRPr="003978E8">
        <w:rPr>
          <w:rFonts w:ascii="標楷體" w:eastAsia="標楷體" w:hAnsi="標楷體" w:hint="eastAsia"/>
          <w:szCs w:val="22"/>
        </w:rPr>
        <w:t>本公司取得有價證券之總</w:t>
      </w:r>
      <w:r w:rsidR="00E76535" w:rsidRPr="006E7649">
        <w:rPr>
          <w:rFonts w:ascii="標楷體" w:eastAsia="標楷體" w:hAnsi="標楷體" w:hint="eastAsia"/>
          <w:szCs w:val="22"/>
        </w:rPr>
        <w:t>額不得逾淨值的百分之二百(列入本公司合併財務報告之子公司不在此限)；各子公司取得有價證券之總額不得逾本公司淨值的百分之百。</w:t>
      </w:r>
    </w:p>
    <w:p w:rsidR="00E76535" w:rsidRPr="006E7649" w:rsidRDefault="00E76535" w:rsidP="006E7649">
      <w:pPr>
        <w:spacing w:line="0" w:lineRule="atLeast"/>
        <w:ind w:leftChars="767" w:left="1841"/>
        <w:jc w:val="both"/>
        <w:rPr>
          <w:rFonts w:ascii="標楷體" w:eastAsia="標楷體" w:hAnsi="標楷體"/>
          <w:szCs w:val="22"/>
        </w:rPr>
      </w:pPr>
      <w:r w:rsidRPr="006E7649">
        <w:rPr>
          <w:rFonts w:ascii="標楷體" w:eastAsia="標楷體" w:hAnsi="標楷體" w:hint="eastAsia"/>
          <w:szCs w:val="22"/>
        </w:rPr>
        <w:t>本公司取得個別有價證券之金額不得逾淨值的百分之一百五十(列入本公司合併財務報告之子公司不在此限)；各子公司取得個別有價證券之金額不得逾本公司淨值的百分之一百。</w:t>
      </w:r>
    </w:p>
    <w:p w:rsidR="008C299F" w:rsidRPr="005D65CA" w:rsidRDefault="00E76535" w:rsidP="006E7649">
      <w:pPr>
        <w:ind w:leftChars="767" w:left="1841"/>
        <w:jc w:val="both"/>
        <w:rPr>
          <w:rFonts w:eastAsia="標楷體"/>
        </w:rPr>
      </w:pPr>
      <w:r w:rsidRPr="006E7649">
        <w:rPr>
          <w:rFonts w:ascii="標楷體" w:eastAsia="標楷體" w:hAnsi="標楷體" w:hint="eastAsia"/>
          <w:szCs w:val="22"/>
        </w:rPr>
        <w:t>惟各控股子公司直接或間接持有實質營運子公司</w:t>
      </w:r>
      <w:r w:rsidRPr="003978E8">
        <w:rPr>
          <w:rFonts w:ascii="標楷體" w:eastAsia="標楷體" w:hAnsi="標楷體" w:hint="eastAsia"/>
          <w:szCs w:val="22"/>
        </w:rPr>
        <w:t>之股權者不在此限。</w:t>
      </w:r>
    </w:p>
    <w:p w:rsidR="008C299F" w:rsidRPr="005D65CA" w:rsidRDefault="008C299F" w:rsidP="008C299F">
      <w:pPr>
        <w:ind w:left="960"/>
        <w:jc w:val="both"/>
        <w:rPr>
          <w:rFonts w:eastAsia="標楷體"/>
        </w:rPr>
      </w:pPr>
      <w:r w:rsidRPr="005D65CA">
        <w:rPr>
          <w:rFonts w:eastAsia="標楷體"/>
        </w:rPr>
        <w:t>三、執行單位</w:t>
      </w:r>
    </w:p>
    <w:p w:rsidR="008C299F" w:rsidRPr="005D65CA" w:rsidRDefault="008C299F" w:rsidP="008C299F">
      <w:pPr>
        <w:ind w:left="1440"/>
        <w:jc w:val="both"/>
        <w:rPr>
          <w:rFonts w:eastAsia="標楷體"/>
        </w:rPr>
      </w:pPr>
      <w:r w:rsidRPr="005D65CA">
        <w:rPr>
          <w:rFonts w:eastAsia="標楷體"/>
        </w:rPr>
        <w:t>本公司有價證券投資或處分，應依公司核決權限呈核後，由</w:t>
      </w:r>
      <w:bookmarkStart w:id="1" w:name="OLE_LINK1"/>
      <w:r w:rsidRPr="005D65CA">
        <w:rPr>
          <w:rFonts w:eastAsia="標楷體"/>
        </w:rPr>
        <w:t>財務、股務及投資</w:t>
      </w:r>
      <w:bookmarkEnd w:id="1"/>
      <w:r w:rsidRPr="005D65CA">
        <w:rPr>
          <w:rFonts w:eastAsia="標楷體"/>
        </w:rPr>
        <w:t>相關部門負責執行。</w:t>
      </w:r>
    </w:p>
    <w:p w:rsidR="008C299F" w:rsidRPr="005D65CA" w:rsidRDefault="008C299F" w:rsidP="008C299F">
      <w:pPr>
        <w:ind w:left="960"/>
        <w:jc w:val="both"/>
        <w:rPr>
          <w:rFonts w:eastAsia="標楷體"/>
        </w:rPr>
      </w:pPr>
      <w:r w:rsidRPr="005D65CA">
        <w:rPr>
          <w:rFonts w:eastAsia="標楷體"/>
        </w:rPr>
        <w:t>四、取得專家意見</w:t>
      </w:r>
    </w:p>
    <w:p w:rsidR="008C299F" w:rsidRPr="005D65CA" w:rsidRDefault="008C299F" w:rsidP="008C299F">
      <w:pPr>
        <w:pStyle w:val="3"/>
        <w:ind w:left="1440" w:firstLine="0"/>
        <w:rPr>
          <w:rFonts w:eastAsia="標楷體"/>
          <w:sz w:val="24"/>
          <w:szCs w:val="24"/>
        </w:rPr>
      </w:pPr>
      <w:r w:rsidRPr="005D65CA">
        <w:rPr>
          <w:rFonts w:eastAsia="標楷體"/>
          <w:sz w:val="24"/>
          <w:szCs w:val="24"/>
        </w:rPr>
        <w:t>本公司取得或處分有價證券，交易金額達公司實收資本額百分之二十或新臺幣三億元以上者，應於事實發生日前洽請會計師就交易價格之合理性表示意見</w:t>
      </w:r>
      <w:r w:rsidRPr="005D65CA">
        <w:rPr>
          <w:rFonts w:eastAsia="標楷體"/>
        </w:rPr>
        <w:t>，</w:t>
      </w:r>
      <w:r w:rsidRPr="005D65CA">
        <w:rPr>
          <w:rFonts w:eastAsia="標楷體"/>
          <w:sz w:val="24"/>
          <w:szCs w:val="24"/>
        </w:rPr>
        <w:t>會計師若須採用專家報告者，應依會計研究發展基金會所發布之審計準則公報規定辦理。但該有價證券具活絡市場之公開報價或金管會另有規定者，不在此限。</w:t>
      </w:r>
    </w:p>
    <w:p w:rsidR="008C299F" w:rsidRPr="005D65CA" w:rsidRDefault="008C299F" w:rsidP="008C299F">
      <w:pPr>
        <w:pStyle w:val="a5"/>
        <w:ind w:left="960" w:hangingChars="400" w:hanging="960"/>
        <w:rPr>
          <w:rFonts w:eastAsia="標楷體"/>
          <w:sz w:val="24"/>
          <w:szCs w:val="24"/>
        </w:rPr>
      </w:pPr>
      <w:r w:rsidRPr="005D65CA">
        <w:rPr>
          <w:rFonts w:eastAsia="標楷體"/>
          <w:sz w:val="24"/>
          <w:szCs w:val="24"/>
        </w:rPr>
        <w:t>第九條：本公司與關係人交易，除依本程序相關規定辦理外，並應符合主管機關所訂「公開發行公司取得或處分資產處理準則」之相關規定。</w:t>
      </w:r>
    </w:p>
    <w:p w:rsidR="008C299F" w:rsidRPr="005D65CA" w:rsidRDefault="008C299F" w:rsidP="008C299F">
      <w:pPr>
        <w:pStyle w:val="a5"/>
        <w:rPr>
          <w:rFonts w:eastAsia="標楷體"/>
          <w:sz w:val="24"/>
          <w:szCs w:val="24"/>
        </w:rPr>
      </w:pPr>
      <w:r w:rsidRPr="005D65CA">
        <w:rPr>
          <w:rFonts w:eastAsia="標楷體"/>
          <w:sz w:val="24"/>
          <w:szCs w:val="24"/>
        </w:rPr>
        <w:t>第十條：取得或處分會員證或無形資產之處理程序</w:t>
      </w:r>
    </w:p>
    <w:p w:rsidR="008C299F" w:rsidRPr="005D65CA" w:rsidRDefault="008C299F" w:rsidP="008C299F">
      <w:pPr>
        <w:pStyle w:val="a5"/>
        <w:ind w:left="1440" w:hanging="482"/>
        <w:rPr>
          <w:rFonts w:eastAsia="標楷體"/>
          <w:sz w:val="24"/>
          <w:szCs w:val="24"/>
        </w:rPr>
      </w:pPr>
      <w:r w:rsidRPr="005D65CA">
        <w:rPr>
          <w:rFonts w:eastAsia="標楷體"/>
          <w:sz w:val="24"/>
          <w:szCs w:val="24"/>
        </w:rPr>
        <w:t>一、評估及作業程序</w:t>
      </w:r>
    </w:p>
    <w:p w:rsidR="008C299F" w:rsidRPr="005D65CA" w:rsidRDefault="008C299F" w:rsidP="008C299F">
      <w:pPr>
        <w:ind w:left="1503"/>
        <w:jc w:val="both"/>
        <w:rPr>
          <w:rFonts w:eastAsia="標楷體"/>
        </w:rPr>
      </w:pPr>
      <w:r w:rsidRPr="005D65CA">
        <w:rPr>
          <w:rFonts w:eastAsia="標楷體"/>
        </w:rPr>
        <w:t>本公司取得或處分會員證或無形資產，悉依本公司內部控制制度之財產管理作業辦理。</w:t>
      </w:r>
    </w:p>
    <w:p w:rsidR="008C299F" w:rsidRPr="005D65CA" w:rsidRDefault="008C299F" w:rsidP="008C299F">
      <w:pPr>
        <w:pStyle w:val="a5"/>
        <w:ind w:left="1440" w:hanging="480"/>
        <w:rPr>
          <w:rFonts w:eastAsia="標楷體"/>
          <w:sz w:val="24"/>
          <w:szCs w:val="24"/>
        </w:rPr>
      </w:pPr>
      <w:r w:rsidRPr="005D65CA">
        <w:rPr>
          <w:rFonts w:eastAsia="標楷體"/>
          <w:sz w:val="24"/>
          <w:szCs w:val="24"/>
        </w:rPr>
        <w:t>二、交易條件及授權額度之決定程序</w:t>
      </w:r>
    </w:p>
    <w:p w:rsidR="008C299F" w:rsidRPr="005D65CA" w:rsidRDefault="008C299F" w:rsidP="006E7649">
      <w:pPr>
        <w:ind w:left="1843" w:hanging="425"/>
        <w:jc w:val="both"/>
        <w:rPr>
          <w:rFonts w:eastAsia="標楷體"/>
        </w:rPr>
      </w:pPr>
      <w:r w:rsidRPr="005D65CA">
        <w:rPr>
          <w:rFonts w:eastAsia="標楷體"/>
        </w:rPr>
        <w:t>(</w:t>
      </w:r>
      <w:r w:rsidRPr="005D65CA">
        <w:rPr>
          <w:rFonts w:eastAsia="標楷體"/>
        </w:rPr>
        <w:t>一</w:t>
      </w:r>
      <w:r w:rsidRPr="005D65CA">
        <w:rPr>
          <w:rFonts w:eastAsia="標楷體"/>
        </w:rPr>
        <w:t>)</w:t>
      </w:r>
      <w:r w:rsidR="006E7649">
        <w:rPr>
          <w:rFonts w:eastAsia="標楷體"/>
        </w:rPr>
        <w:t xml:space="preserve"> </w:t>
      </w:r>
      <w:r w:rsidRPr="005D65CA">
        <w:rPr>
          <w:rFonts w:eastAsia="標楷體"/>
        </w:rPr>
        <w:t>取得或處分會員證，應參考市場公平市價，決議交易條件及交易價格，作成分析報告，並依據本公司核決權限之規定，由相關單位主管分層負責辦理。如金額超過新臺幣參佰萬元者，另須提經董事會通過後始得為之。</w:t>
      </w:r>
    </w:p>
    <w:p w:rsidR="008C299F" w:rsidRPr="005D65CA" w:rsidRDefault="008C299F" w:rsidP="006E7649">
      <w:pPr>
        <w:ind w:left="1843" w:hanging="425"/>
        <w:jc w:val="both"/>
        <w:rPr>
          <w:rFonts w:eastAsia="標楷體"/>
        </w:rPr>
      </w:pPr>
      <w:r w:rsidRPr="005D65CA">
        <w:rPr>
          <w:rFonts w:eastAsia="標楷體"/>
        </w:rPr>
        <w:t>(</w:t>
      </w:r>
      <w:r w:rsidRPr="005D65CA">
        <w:rPr>
          <w:rFonts w:eastAsia="標楷體"/>
        </w:rPr>
        <w:t>二</w:t>
      </w:r>
      <w:r w:rsidRPr="005D65CA">
        <w:rPr>
          <w:rFonts w:eastAsia="標楷體"/>
        </w:rPr>
        <w:t>)</w:t>
      </w:r>
      <w:r w:rsidR="006E7649">
        <w:rPr>
          <w:rFonts w:eastAsia="標楷體"/>
        </w:rPr>
        <w:t xml:space="preserve"> </w:t>
      </w:r>
      <w:r w:rsidRPr="005D65CA">
        <w:rPr>
          <w:rFonts w:eastAsia="標楷體"/>
        </w:rPr>
        <w:t>取得或處分無形資產，應參考專家評估報告或市場公平市價，</w:t>
      </w:r>
      <w:r w:rsidRPr="005D65CA">
        <w:rPr>
          <w:rFonts w:eastAsia="標楷體"/>
        </w:rPr>
        <w:lastRenderedPageBreak/>
        <w:t>決議交易條件及交易價格，作成分析報告，並依據本公司核決權限之規定，由相關單位主管分層負責辦理。如金額超過本公司淨值百分之二者，另須提經董事會通過後始得為之。</w:t>
      </w:r>
    </w:p>
    <w:p w:rsidR="008C299F" w:rsidRPr="005D65CA" w:rsidRDefault="008C299F" w:rsidP="008C299F">
      <w:pPr>
        <w:pStyle w:val="a5"/>
        <w:ind w:left="1440" w:hanging="482"/>
        <w:rPr>
          <w:rFonts w:eastAsia="標楷體"/>
          <w:sz w:val="24"/>
          <w:szCs w:val="24"/>
        </w:rPr>
      </w:pPr>
      <w:r w:rsidRPr="005D65CA">
        <w:rPr>
          <w:rFonts w:eastAsia="標楷體"/>
          <w:sz w:val="24"/>
          <w:szCs w:val="24"/>
        </w:rPr>
        <w:t>三、執行單位</w:t>
      </w:r>
    </w:p>
    <w:p w:rsidR="008C299F" w:rsidRPr="005D65CA" w:rsidRDefault="008C299F" w:rsidP="008C299F">
      <w:pPr>
        <w:ind w:left="1503"/>
        <w:jc w:val="both"/>
        <w:rPr>
          <w:rFonts w:eastAsia="標楷體"/>
        </w:rPr>
      </w:pPr>
      <w:r w:rsidRPr="005D65CA">
        <w:rPr>
          <w:rFonts w:eastAsia="標楷體"/>
        </w:rPr>
        <w:t>本公司取得或處分會員證或無形資產時，應依前款核決權限呈核決後，由使用部門或行政部門負責執行。</w:t>
      </w:r>
    </w:p>
    <w:p w:rsidR="008C299F" w:rsidRPr="005D65CA" w:rsidRDefault="008C299F" w:rsidP="008C299F">
      <w:pPr>
        <w:pStyle w:val="a5"/>
        <w:ind w:left="1440" w:hanging="482"/>
        <w:rPr>
          <w:rFonts w:eastAsia="標楷體"/>
          <w:sz w:val="24"/>
          <w:szCs w:val="24"/>
        </w:rPr>
      </w:pPr>
      <w:r w:rsidRPr="005D65CA">
        <w:rPr>
          <w:rFonts w:eastAsia="標楷體"/>
          <w:sz w:val="24"/>
          <w:szCs w:val="24"/>
        </w:rPr>
        <w:t>四、會員證或無形資產專家評估意見報告</w:t>
      </w:r>
    </w:p>
    <w:p w:rsidR="008C299F" w:rsidRPr="005D65CA" w:rsidRDefault="008C299F" w:rsidP="006E7649">
      <w:pPr>
        <w:ind w:left="1985" w:hanging="567"/>
        <w:jc w:val="both"/>
        <w:rPr>
          <w:rFonts w:eastAsia="標楷體"/>
        </w:rPr>
      </w:pPr>
      <w:r w:rsidRPr="005D65CA">
        <w:rPr>
          <w:rFonts w:eastAsia="標楷體"/>
        </w:rPr>
        <w:t>(</w:t>
      </w:r>
      <w:r w:rsidRPr="005D65CA">
        <w:rPr>
          <w:rFonts w:eastAsia="標楷體"/>
        </w:rPr>
        <w:t>一</w:t>
      </w:r>
      <w:r w:rsidRPr="005D65CA">
        <w:rPr>
          <w:rFonts w:eastAsia="標楷體"/>
        </w:rPr>
        <w:t>)</w:t>
      </w:r>
      <w:r w:rsidR="006E7649">
        <w:rPr>
          <w:rFonts w:eastAsia="標楷體"/>
        </w:rPr>
        <w:t xml:space="preserve"> </w:t>
      </w:r>
      <w:r w:rsidRPr="005D65CA">
        <w:rPr>
          <w:rFonts w:eastAsia="標楷體"/>
        </w:rPr>
        <w:t>本公司取得或處分會員證之交易金額達新臺幣參佰萬元以上者應請專家出具鑑價報告。</w:t>
      </w:r>
    </w:p>
    <w:p w:rsidR="008C299F" w:rsidRPr="005D65CA" w:rsidRDefault="008C299F" w:rsidP="006E7649">
      <w:pPr>
        <w:ind w:left="1985" w:hanging="567"/>
        <w:jc w:val="both"/>
        <w:rPr>
          <w:rFonts w:eastAsia="標楷體"/>
        </w:rPr>
      </w:pPr>
      <w:r w:rsidRPr="005D65CA">
        <w:rPr>
          <w:rFonts w:eastAsia="標楷體"/>
        </w:rPr>
        <w:t>(</w:t>
      </w:r>
      <w:r w:rsidRPr="005D65CA">
        <w:rPr>
          <w:rFonts w:eastAsia="標楷體"/>
        </w:rPr>
        <w:t>二</w:t>
      </w:r>
      <w:r w:rsidRPr="005D65CA">
        <w:rPr>
          <w:rFonts w:eastAsia="標楷體"/>
        </w:rPr>
        <w:t>)</w:t>
      </w:r>
      <w:r w:rsidR="006E7649">
        <w:rPr>
          <w:rFonts w:eastAsia="標楷體"/>
        </w:rPr>
        <w:t xml:space="preserve"> </w:t>
      </w:r>
      <w:r w:rsidRPr="005D65CA">
        <w:rPr>
          <w:rFonts w:eastAsia="標楷體"/>
        </w:rPr>
        <w:t>本公司取得或處分無形資產之交易金額達本公司淨值百分之二以上者應請專家出具鑑價報告。</w:t>
      </w:r>
    </w:p>
    <w:p w:rsidR="008C299F" w:rsidRPr="005D65CA" w:rsidRDefault="008C299F" w:rsidP="006E7649">
      <w:pPr>
        <w:ind w:left="1985" w:hanging="567"/>
        <w:jc w:val="both"/>
        <w:rPr>
          <w:rFonts w:eastAsia="標楷體"/>
        </w:rPr>
      </w:pPr>
      <w:r w:rsidRPr="005D65CA">
        <w:rPr>
          <w:rFonts w:eastAsia="標楷體"/>
        </w:rPr>
        <w:t>(</w:t>
      </w:r>
      <w:r w:rsidRPr="005D65CA">
        <w:rPr>
          <w:rFonts w:eastAsia="標楷體"/>
        </w:rPr>
        <w:t>三</w:t>
      </w:r>
      <w:r w:rsidRPr="005D65CA">
        <w:rPr>
          <w:rFonts w:eastAsia="標楷體"/>
        </w:rPr>
        <w:t>)</w:t>
      </w:r>
      <w:r w:rsidR="006E7649">
        <w:rPr>
          <w:rFonts w:eastAsia="標楷體"/>
        </w:rPr>
        <w:t xml:space="preserve"> </w:t>
      </w:r>
      <w:r w:rsidRPr="005D65CA">
        <w:rPr>
          <w:rFonts w:eastAsia="標楷體"/>
        </w:rPr>
        <w:t>本公司取得或處分會員證或無形資產之交易金額達公司實收資本額百分之二十或新臺幣三億元以上者，除與政府機構交易外，應於事實發生日前洽請會計師就交易價格之合理性表示意見，會計師並應依會計研究發展基金會所發布之審計準則規定辦理。</w:t>
      </w:r>
    </w:p>
    <w:p w:rsidR="008C299F" w:rsidRPr="005D65CA" w:rsidRDefault="008C299F" w:rsidP="008C299F">
      <w:pPr>
        <w:pStyle w:val="a5"/>
        <w:ind w:left="1200" w:hangingChars="500" w:hanging="1200"/>
        <w:rPr>
          <w:rFonts w:eastAsia="標楷體"/>
          <w:sz w:val="24"/>
        </w:rPr>
      </w:pPr>
      <w:r w:rsidRPr="005D65CA">
        <w:rPr>
          <w:rFonts w:eastAsia="標楷體"/>
          <w:sz w:val="24"/>
        </w:rPr>
        <w:t>第十條之一：第七、八、十條應於事實發生日前，洽請會計師就交易價格之合理性表示意見或請專業估</w:t>
      </w:r>
      <w:r w:rsidRPr="005D65CA">
        <w:rPr>
          <w:rFonts w:eastAsia="標楷體"/>
          <w:sz w:val="24"/>
        </w:rPr>
        <w:t>(</w:t>
      </w:r>
      <w:r w:rsidRPr="005D65CA">
        <w:rPr>
          <w:rFonts w:eastAsia="標楷體"/>
          <w:sz w:val="24"/>
        </w:rPr>
        <w:t>鑑</w:t>
      </w:r>
      <w:r w:rsidRPr="005D65CA">
        <w:rPr>
          <w:rFonts w:eastAsia="標楷體"/>
          <w:sz w:val="24"/>
        </w:rPr>
        <w:t>)</w:t>
      </w:r>
      <w:r w:rsidRPr="005D65CA">
        <w:rPr>
          <w:rFonts w:eastAsia="標楷體"/>
          <w:sz w:val="24"/>
        </w:rPr>
        <w:t>價者出具估</w:t>
      </w:r>
      <w:r w:rsidRPr="005D65CA">
        <w:rPr>
          <w:rFonts w:eastAsia="標楷體"/>
          <w:sz w:val="24"/>
        </w:rPr>
        <w:t>(</w:t>
      </w:r>
      <w:r w:rsidRPr="005D65CA">
        <w:rPr>
          <w:rFonts w:eastAsia="標楷體"/>
          <w:sz w:val="24"/>
        </w:rPr>
        <w:t>鑑</w:t>
      </w:r>
      <w:r w:rsidRPr="005D65CA">
        <w:rPr>
          <w:rFonts w:eastAsia="標楷體"/>
          <w:sz w:val="24"/>
        </w:rPr>
        <w:t>)</w:t>
      </w:r>
      <w:r w:rsidRPr="005D65CA">
        <w:rPr>
          <w:rFonts w:eastAsia="標楷體"/>
          <w:sz w:val="24"/>
        </w:rPr>
        <w:t>價報告之交易金額計算方式，應依「公開發行公司取得或處分資產處理準則」規定辦理，且所稱一年內係以本次交易事實發生之日為基準，往前追溯推算一年，已依本處理程序規定取得專業估</w:t>
      </w:r>
      <w:r w:rsidRPr="005D65CA">
        <w:rPr>
          <w:rFonts w:eastAsia="標楷體"/>
          <w:sz w:val="24"/>
        </w:rPr>
        <w:t>(</w:t>
      </w:r>
      <w:r w:rsidRPr="005D65CA">
        <w:rPr>
          <w:rFonts w:eastAsia="標楷體"/>
          <w:sz w:val="24"/>
        </w:rPr>
        <w:t>鑑</w:t>
      </w:r>
      <w:r w:rsidRPr="005D65CA">
        <w:rPr>
          <w:rFonts w:eastAsia="標楷體"/>
          <w:sz w:val="24"/>
        </w:rPr>
        <w:t>)</w:t>
      </w:r>
      <w:r w:rsidRPr="005D65CA">
        <w:rPr>
          <w:rFonts w:eastAsia="標楷體"/>
          <w:sz w:val="24"/>
        </w:rPr>
        <w:t>價者出具之估</w:t>
      </w:r>
      <w:r w:rsidRPr="005D65CA">
        <w:rPr>
          <w:rFonts w:eastAsia="標楷體"/>
          <w:sz w:val="24"/>
        </w:rPr>
        <w:t>(</w:t>
      </w:r>
      <w:r w:rsidRPr="005D65CA">
        <w:rPr>
          <w:rFonts w:eastAsia="標楷體"/>
          <w:sz w:val="24"/>
        </w:rPr>
        <w:t>鑑</w:t>
      </w:r>
      <w:r w:rsidRPr="005D65CA">
        <w:rPr>
          <w:rFonts w:eastAsia="標楷體"/>
          <w:sz w:val="24"/>
        </w:rPr>
        <w:t>)</w:t>
      </w:r>
      <w:r w:rsidRPr="005D65CA">
        <w:rPr>
          <w:rFonts w:eastAsia="標楷體"/>
          <w:sz w:val="24"/>
        </w:rPr>
        <w:t>價報告或會計師意見部分免再計入。</w:t>
      </w:r>
    </w:p>
    <w:p w:rsidR="008C299F" w:rsidRPr="005D65CA" w:rsidRDefault="008C299F" w:rsidP="008C299F">
      <w:pPr>
        <w:pStyle w:val="a5"/>
        <w:rPr>
          <w:rFonts w:eastAsia="標楷體"/>
          <w:sz w:val="24"/>
          <w:szCs w:val="24"/>
        </w:rPr>
      </w:pPr>
    </w:p>
    <w:p w:rsidR="008C299F" w:rsidRPr="005D65CA" w:rsidRDefault="008C299F" w:rsidP="008C299F">
      <w:pPr>
        <w:pStyle w:val="a5"/>
        <w:rPr>
          <w:rFonts w:eastAsia="標楷體"/>
          <w:sz w:val="24"/>
        </w:rPr>
      </w:pPr>
      <w:r w:rsidRPr="005D65CA">
        <w:rPr>
          <w:rFonts w:eastAsia="標楷體"/>
          <w:sz w:val="24"/>
        </w:rPr>
        <w:t>第十一條：取得或處分金融機構之債權之處理程序</w:t>
      </w:r>
    </w:p>
    <w:p w:rsidR="008C299F" w:rsidRPr="005D65CA" w:rsidRDefault="008C299F" w:rsidP="008C299F">
      <w:pPr>
        <w:pStyle w:val="a5"/>
        <w:ind w:left="1200"/>
        <w:rPr>
          <w:rFonts w:eastAsia="標楷體"/>
          <w:sz w:val="24"/>
        </w:rPr>
      </w:pPr>
      <w:r w:rsidRPr="005D65CA">
        <w:rPr>
          <w:rFonts w:eastAsia="標楷體"/>
          <w:sz w:val="24"/>
        </w:rPr>
        <w:t>本公司原則上不從事取得或處分金融機構之債權之交易，嗣後若欲從事取得或處分金融機構之債權之交易，將提經董事會核准後，再訂定其評估及作業程序。</w:t>
      </w:r>
    </w:p>
    <w:p w:rsidR="008C299F" w:rsidRPr="005D65CA" w:rsidRDefault="008C299F" w:rsidP="008C299F">
      <w:pPr>
        <w:pStyle w:val="a5"/>
        <w:rPr>
          <w:rFonts w:eastAsia="標楷體"/>
          <w:sz w:val="24"/>
          <w:szCs w:val="24"/>
        </w:rPr>
      </w:pPr>
      <w:r w:rsidRPr="005D65CA">
        <w:rPr>
          <w:rFonts w:eastAsia="標楷體"/>
          <w:sz w:val="24"/>
          <w:szCs w:val="24"/>
        </w:rPr>
        <w:t>第十二條：取得或處分衍生性商品之處理程序</w:t>
      </w:r>
    </w:p>
    <w:p w:rsidR="008C299F" w:rsidRPr="005D65CA" w:rsidRDefault="008C299F" w:rsidP="008C299F">
      <w:pPr>
        <w:ind w:leftChars="200" w:left="480" w:firstLineChars="300" w:firstLine="720"/>
        <w:rPr>
          <w:rFonts w:eastAsia="標楷體"/>
        </w:rPr>
      </w:pPr>
      <w:r w:rsidRPr="005D65CA">
        <w:rPr>
          <w:rFonts w:eastAsia="標楷體"/>
        </w:rPr>
        <w:t>一、交易原則與方針</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交易種類</w:t>
      </w:r>
    </w:p>
    <w:p w:rsidR="008C299F" w:rsidRPr="005D65CA" w:rsidRDefault="008C299F" w:rsidP="006E7649">
      <w:pPr>
        <w:pStyle w:val="a7"/>
        <w:ind w:leftChars="0" w:left="1985"/>
        <w:rPr>
          <w:rFonts w:eastAsia="標楷體"/>
          <w:szCs w:val="24"/>
        </w:rPr>
      </w:pPr>
      <w:r w:rsidRPr="005D65CA">
        <w:rPr>
          <w:rFonts w:eastAsia="標楷體"/>
        </w:rPr>
        <w:t>本公司從事之衍生性金融商品係指其價值由資產、利率、匯率、指數或其他利益等商品所衍生之遠期契約、選擇權契約、期貨契約、交換契約，暨上述商品組合而成之複合式契約等。</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經營避險策略</w:t>
      </w:r>
    </w:p>
    <w:p w:rsidR="008C299F" w:rsidRPr="005D65CA" w:rsidRDefault="008C299F" w:rsidP="006E7649">
      <w:pPr>
        <w:pStyle w:val="a7"/>
        <w:ind w:leftChars="0" w:left="1985"/>
        <w:rPr>
          <w:rFonts w:eastAsia="標楷體"/>
          <w:szCs w:val="24"/>
        </w:rPr>
      </w:pPr>
      <w:r w:rsidRPr="005D65CA">
        <w:rPr>
          <w:rFonts w:eastAsia="標楷體"/>
        </w:rPr>
        <w:t>本公司從事衍生性金融商品交易，以避險為目的者，以</w:t>
      </w:r>
      <w:r w:rsidRPr="005D65CA">
        <w:rPr>
          <w:rFonts w:eastAsia="標楷體"/>
          <w:color w:val="000000"/>
        </w:rPr>
        <w:t>公司</w:t>
      </w:r>
      <w:r w:rsidRPr="005D65CA">
        <w:rPr>
          <w:rFonts w:eastAsia="標楷體"/>
        </w:rPr>
        <w:t>因營運</w:t>
      </w:r>
      <w:r w:rsidRPr="005D65CA">
        <w:rPr>
          <w:rFonts w:eastAsia="標楷體"/>
          <w:color w:val="000000"/>
        </w:rPr>
        <w:t>所產生之</w:t>
      </w:r>
      <w:r w:rsidRPr="005D65CA">
        <w:rPr>
          <w:rFonts w:eastAsia="標楷體"/>
        </w:rPr>
        <w:t>曝險部位進行避險。其他特定用途交易，須提經董事會授權相關單位主管方可進行。</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權責劃分</w:t>
      </w:r>
    </w:p>
    <w:p w:rsidR="008C299F" w:rsidRPr="005D65CA" w:rsidRDefault="008C299F" w:rsidP="006E7649">
      <w:pPr>
        <w:pStyle w:val="a7"/>
        <w:numPr>
          <w:ilvl w:val="0"/>
          <w:numId w:val="5"/>
        </w:numPr>
        <w:adjustRightInd w:val="0"/>
        <w:ind w:leftChars="0" w:left="2268" w:hanging="284"/>
        <w:rPr>
          <w:rFonts w:eastAsia="標楷體"/>
          <w:szCs w:val="24"/>
        </w:rPr>
      </w:pPr>
      <w:r w:rsidRPr="005D65CA">
        <w:rPr>
          <w:rFonts w:eastAsia="標楷體"/>
          <w:szCs w:val="24"/>
        </w:rPr>
        <w:lastRenderedPageBreak/>
        <w:t>交易人員：依核決權限執行交易。交易人員並</w:t>
      </w:r>
      <w:r w:rsidRPr="005D65CA">
        <w:rPr>
          <w:rFonts w:eastAsia="標楷體"/>
        </w:rPr>
        <w:t>應每一週定期計算部位，依據部位變化及金融市場資訊進行風險評估。</w:t>
      </w:r>
    </w:p>
    <w:p w:rsidR="008C299F" w:rsidRPr="005D65CA" w:rsidRDefault="008C299F" w:rsidP="006E7649">
      <w:pPr>
        <w:pStyle w:val="a7"/>
        <w:numPr>
          <w:ilvl w:val="0"/>
          <w:numId w:val="5"/>
        </w:numPr>
        <w:adjustRightInd w:val="0"/>
        <w:ind w:leftChars="0" w:left="2268" w:hanging="284"/>
        <w:rPr>
          <w:rFonts w:eastAsia="標楷體"/>
          <w:szCs w:val="24"/>
        </w:rPr>
      </w:pPr>
      <w:r w:rsidRPr="005D65CA">
        <w:rPr>
          <w:rFonts w:eastAsia="標楷體"/>
          <w:szCs w:val="24"/>
        </w:rPr>
        <w:t>確認人員：執行交易確認。</w:t>
      </w:r>
    </w:p>
    <w:p w:rsidR="008C299F" w:rsidRPr="005D65CA" w:rsidRDefault="008C299F" w:rsidP="006E7649">
      <w:pPr>
        <w:pStyle w:val="a7"/>
        <w:numPr>
          <w:ilvl w:val="0"/>
          <w:numId w:val="5"/>
        </w:numPr>
        <w:adjustRightInd w:val="0"/>
        <w:ind w:leftChars="0" w:left="2268" w:hanging="284"/>
        <w:rPr>
          <w:rFonts w:eastAsia="標楷體"/>
          <w:szCs w:val="24"/>
        </w:rPr>
      </w:pPr>
      <w:r w:rsidRPr="005D65CA">
        <w:rPr>
          <w:rFonts w:eastAsia="標楷體"/>
          <w:szCs w:val="24"/>
        </w:rPr>
        <w:t>交割人員：負責交割事宜。</w:t>
      </w:r>
    </w:p>
    <w:p w:rsidR="008C299F" w:rsidRPr="005D65CA" w:rsidRDefault="008C299F" w:rsidP="006E7649">
      <w:pPr>
        <w:pStyle w:val="a7"/>
        <w:numPr>
          <w:ilvl w:val="0"/>
          <w:numId w:val="5"/>
        </w:numPr>
        <w:adjustRightInd w:val="0"/>
        <w:ind w:leftChars="0" w:left="2268" w:hanging="284"/>
        <w:rPr>
          <w:rFonts w:eastAsia="標楷體"/>
          <w:szCs w:val="24"/>
        </w:rPr>
      </w:pPr>
      <w:r w:rsidRPr="005D65CA">
        <w:rPr>
          <w:rFonts w:eastAsia="標楷體"/>
          <w:szCs w:val="24"/>
        </w:rPr>
        <w:t>前述之交易、確認、交割人員應由財務單位擔任且不得互相兼任。交易人員之異動並應於生效日前以書面正式通知交易對象。</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核決權限</w:t>
      </w:r>
    </w:p>
    <w:p w:rsidR="008C299F" w:rsidRPr="005D65CA" w:rsidRDefault="008C299F" w:rsidP="006E7649">
      <w:pPr>
        <w:pStyle w:val="a7"/>
        <w:numPr>
          <w:ilvl w:val="0"/>
          <w:numId w:val="6"/>
        </w:numPr>
        <w:ind w:leftChars="0" w:left="2268" w:hanging="284"/>
        <w:rPr>
          <w:rFonts w:eastAsia="標楷體"/>
          <w:szCs w:val="24"/>
        </w:rPr>
      </w:pPr>
      <w:r w:rsidRPr="005D65CA">
        <w:rPr>
          <w:rFonts w:eastAsia="標楷體"/>
          <w:szCs w:val="24"/>
        </w:rPr>
        <w:t>避險性交易之單筆交易金額核決權限如下</w:t>
      </w:r>
    </w:p>
    <w:p w:rsidR="008C299F" w:rsidRPr="005D65CA" w:rsidRDefault="008C299F" w:rsidP="006E7649">
      <w:pPr>
        <w:ind w:left="2268"/>
        <w:rPr>
          <w:rFonts w:eastAsia="標楷體"/>
        </w:rPr>
      </w:pPr>
      <w:r w:rsidRPr="005D65CA">
        <w:rPr>
          <w:rFonts w:eastAsia="標楷體"/>
          <w:u w:val="single"/>
        </w:rPr>
        <w:t>核決權限主管</w:t>
      </w:r>
      <w:r w:rsidRPr="005D65CA">
        <w:rPr>
          <w:rFonts w:eastAsia="標楷體"/>
        </w:rPr>
        <w:tab/>
      </w:r>
      <w:r w:rsidRPr="005D65CA">
        <w:rPr>
          <w:rFonts w:eastAsia="標楷體"/>
        </w:rPr>
        <w:tab/>
      </w:r>
      <w:r w:rsidRPr="005D65CA">
        <w:rPr>
          <w:rFonts w:eastAsia="標楷體"/>
          <w:u w:val="single"/>
        </w:rPr>
        <w:t>單筆交易金額核決權限</w:t>
      </w:r>
      <w:r w:rsidRPr="005D65CA">
        <w:rPr>
          <w:rFonts w:eastAsia="標楷體"/>
          <w:u w:val="single"/>
        </w:rPr>
        <w:tab/>
      </w:r>
      <w:r w:rsidRPr="005D65CA">
        <w:rPr>
          <w:rFonts w:eastAsia="標楷體"/>
          <w:u w:val="single"/>
        </w:rPr>
        <w:tab/>
      </w:r>
    </w:p>
    <w:p w:rsidR="008C299F" w:rsidRPr="005D65CA" w:rsidRDefault="008C299F" w:rsidP="006E7649">
      <w:pPr>
        <w:ind w:left="2268"/>
        <w:rPr>
          <w:rFonts w:eastAsia="標楷體"/>
        </w:rPr>
      </w:pPr>
      <w:r w:rsidRPr="005D65CA">
        <w:rPr>
          <w:rFonts w:eastAsia="標楷體"/>
        </w:rPr>
        <w:t>副總及事業群總經理</w:t>
      </w:r>
      <w:r w:rsidRPr="005D65CA">
        <w:rPr>
          <w:rFonts w:eastAsia="標楷體"/>
        </w:rPr>
        <w:tab/>
      </w:r>
      <w:r w:rsidRPr="005D65CA">
        <w:rPr>
          <w:rFonts w:eastAsia="標楷體"/>
        </w:rPr>
        <w:t>美金伍拾萬</w:t>
      </w:r>
      <w:r w:rsidRPr="005D65CA">
        <w:rPr>
          <w:rFonts w:eastAsia="標楷體"/>
        </w:rPr>
        <w:t>(</w:t>
      </w:r>
      <w:r w:rsidRPr="005D65CA">
        <w:rPr>
          <w:rFonts w:eastAsia="標楷體"/>
        </w:rPr>
        <w:t>含</w:t>
      </w:r>
      <w:r w:rsidRPr="005D65CA">
        <w:rPr>
          <w:rFonts w:eastAsia="標楷體"/>
        </w:rPr>
        <w:t>)</w:t>
      </w:r>
      <w:r w:rsidRPr="005D65CA">
        <w:rPr>
          <w:rFonts w:eastAsia="標楷體"/>
        </w:rPr>
        <w:t>以下</w:t>
      </w:r>
    </w:p>
    <w:p w:rsidR="008C299F" w:rsidRPr="005D65CA" w:rsidRDefault="008C299F" w:rsidP="006E7649">
      <w:pPr>
        <w:ind w:left="2268"/>
        <w:rPr>
          <w:rFonts w:eastAsia="標楷體"/>
        </w:rPr>
      </w:pPr>
      <w:r w:rsidRPr="005D65CA">
        <w:rPr>
          <w:rFonts w:eastAsia="標楷體"/>
        </w:rPr>
        <w:t>總經理</w:t>
      </w:r>
      <w:r w:rsidRPr="005D65CA">
        <w:rPr>
          <w:rFonts w:eastAsia="標楷體"/>
        </w:rPr>
        <w:tab/>
      </w:r>
      <w:r w:rsidRPr="005D65CA">
        <w:rPr>
          <w:rFonts w:eastAsia="標楷體"/>
        </w:rPr>
        <w:tab/>
      </w:r>
      <w:r w:rsidRPr="005D65CA">
        <w:rPr>
          <w:rFonts w:eastAsia="標楷體"/>
        </w:rPr>
        <w:tab/>
      </w:r>
      <w:r w:rsidRPr="005D65CA">
        <w:rPr>
          <w:rFonts w:eastAsia="標楷體"/>
        </w:rPr>
        <w:tab/>
      </w:r>
      <w:r w:rsidRPr="005D65CA">
        <w:rPr>
          <w:rFonts w:eastAsia="標楷體"/>
        </w:rPr>
        <w:t>逾美金伍拾萬至美金壹佰萬</w:t>
      </w:r>
      <w:r w:rsidRPr="005D65CA">
        <w:rPr>
          <w:rFonts w:eastAsia="標楷體"/>
        </w:rPr>
        <w:t>(</w:t>
      </w:r>
      <w:r w:rsidRPr="005D65CA">
        <w:rPr>
          <w:rFonts w:eastAsia="標楷體"/>
        </w:rPr>
        <w:t>含</w:t>
      </w:r>
      <w:r w:rsidRPr="005D65CA">
        <w:rPr>
          <w:rFonts w:eastAsia="標楷體"/>
        </w:rPr>
        <w:t>)</w:t>
      </w:r>
    </w:p>
    <w:p w:rsidR="008C299F" w:rsidRPr="005D65CA" w:rsidRDefault="008C299F" w:rsidP="006E7649">
      <w:pPr>
        <w:ind w:left="2268"/>
        <w:rPr>
          <w:rFonts w:eastAsia="標楷體"/>
        </w:rPr>
      </w:pPr>
      <w:r w:rsidRPr="005D65CA">
        <w:rPr>
          <w:rFonts w:eastAsia="標楷體"/>
        </w:rPr>
        <w:t>董事長</w:t>
      </w:r>
      <w:r w:rsidRPr="005D65CA">
        <w:rPr>
          <w:rFonts w:eastAsia="標楷體"/>
        </w:rPr>
        <w:tab/>
      </w:r>
      <w:r w:rsidRPr="005D65CA">
        <w:rPr>
          <w:rFonts w:eastAsia="標楷體"/>
        </w:rPr>
        <w:tab/>
      </w:r>
      <w:r w:rsidRPr="005D65CA">
        <w:rPr>
          <w:rFonts w:eastAsia="標楷體"/>
        </w:rPr>
        <w:tab/>
      </w:r>
      <w:r w:rsidRPr="005D65CA">
        <w:rPr>
          <w:rFonts w:eastAsia="標楷體"/>
        </w:rPr>
        <w:tab/>
      </w:r>
      <w:r w:rsidRPr="005D65CA">
        <w:rPr>
          <w:rFonts w:eastAsia="標楷體"/>
        </w:rPr>
        <w:t>逾美金壹佰萬以上</w:t>
      </w:r>
    </w:p>
    <w:p w:rsidR="008C299F" w:rsidRPr="005D65CA" w:rsidRDefault="008C299F" w:rsidP="006E7649">
      <w:pPr>
        <w:pStyle w:val="a7"/>
        <w:numPr>
          <w:ilvl w:val="0"/>
          <w:numId w:val="6"/>
        </w:numPr>
        <w:ind w:leftChars="0" w:left="2268" w:hanging="284"/>
        <w:rPr>
          <w:rFonts w:eastAsia="標楷體"/>
          <w:szCs w:val="24"/>
        </w:rPr>
      </w:pPr>
      <w:r w:rsidRPr="005D65CA">
        <w:rPr>
          <w:rFonts w:eastAsia="標楷體"/>
          <w:szCs w:val="24"/>
        </w:rPr>
        <w:t>特定用途交易須經董事會授權相關單位主管方可進行。</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契約總額</w:t>
      </w:r>
    </w:p>
    <w:p w:rsidR="008C299F" w:rsidRPr="005D65CA" w:rsidRDefault="008C299F" w:rsidP="006E7649">
      <w:pPr>
        <w:pStyle w:val="a7"/>
        <w:numPr>
          <w:ilvl w:val="0"/>
          <w:numId w:val="7"/>
        </w:numPr>
        <w:ind w:leftChars="0" w:left="2268" w:hanging="284"/>
        <w:jc w:val="both"/>
        <w:rPr>
          <w:rFonts w:eastAsia="標楷體"/>
        </w:rPr>
      </w:pPr>
      <w:r w:rsidRPr="005D65CA">
        <w:rPr>
          <w:rFonts w:eastAsia="標楷體"/>
        </w:rPr>
        <w:t>避險性交易之未沖銷契約總金額以公司因營運所產生之曝險部位為限。</w:t>
      </w:r>
    </w:p>
    <w:p w:rsidR="008C299F" w:rsidRPr="005D65CA" w:rsidRDefault="008C299F" w:rsidP="006E7649">
      <w:pPr>
        <w:pStyle w:val="a7"/>
        <w:numPr>
          <w:ilvl w:val="0"/>
          <w:numId w:val="7"/>
        </w:numPr>
        <w:ind w:leftChars="0" w:left="2268" w:hanging="284"/>
        <w:jc w:val="both"/>
        <w:rPr>
          <w:rFonts w:eastAsia="標楷體"/>
        </w:rPr>
      </w:pPr>
      <w:r w:rsidRPr="005D65CA">
        <w:rPr>
          <w:rFonts w:eastAsia="標楷體"/>
        </w:rPr>
        <w:t>特定用途交易之未沖銷契約總金額以不超過公司最近一季營業收入的百分之十為限。</w:t>
      </w:r>
    </w:p>
    <w:p w:rsidR="008C299F" w:rsidRPr="005D65CA" w:rsidRDefault="008C299F" w:rsidP="006E7649">
      <w:pPr>
        <w:pStyle w:val="a7"/>
        <w:numPr>
          <w:ilvl w:val="0"/>
          <w:numId w:val="1"/>
        </w:numPr>
        <w:ind w:leftChars="0" w:left="1985" w:hanging="567"/>
        <w:rPr>
          <w:rFonts w:eastAsia="標楷體"/>
          <w:szCs w:val="24"/>
        </w:rPr>
      </w:pPr>
      <w:r w:rsidRPr="005D65CA">
        <w:rPr>
          <w:rFonts w:eastAsia="標楷體"/>
          <w:szCs w:val="24"/>
        </w:rPr>
        <w:t>損失上限</w:t>
      </w:r>
    </w:p>
    <w:p w:rsidR="008C299F" w:rsidRPr="005D65CA" w:rsidRDefault="008C299F" w:rsidP="006E7649">
      <w:pPr>
        <w:pStyle w:val="3"/>
        <w:numPr>
          <w:ilvl w:val="0"/>
          <w:numId w:val="8"/>
        </w:numPr>
        <w:ind w:left="2268" w:hanging="284"/>
        <w:jc w:val="both"/>
        <w:rPr>
          <w:rFonts w:eastAsia="標楷體"/>
          <w:sz w:val="24"/>
        </w:rPr>
      </w:pPr>
      <w:r w:rsidRPr="005D65CA">
        <w:rPr>
          <w:rFonts w:eastAsia="標楷體"/>
          <w:sz w:val="24"/>
        </w:rPr>
        <w:t>避險性交易之個別契約或全部契約的損失上限，均為契約金額的百分之二十五。</w:t>
      </w:r>
    </w:p>
    <w:p w:rsidR="008C299F" w:rsidRPr="005D65CA" w:rsidRDefault="008C299F" w:rsidP="006E7649">
      <w:pPr>
        <w:pStyle w:val="3"/>
        <w:numPr>
          <w:ilvl w:val="0"/>
          <w:numId w:val="8"/>
        </w:numPr>
        <w:ind w:left="2268" w:hanging="284"/>
        <w:jc w:val="both"/>
        <w:rPr>
          <w:rFonts w:eastAsia="標楷體"/>
          <w:sz w:val="24"/>
        </w:rPr>
      </w:pPr>
      <w:r w:rsidRPr="005D65CA">
        <w:rPr>
          <w:rFonts w:eastAsia="標楷體"/>
          <w:sz w:val="24"/>
        </w:rPr>
        <w:t>特定用途交易之個別契約或全部契約的損失上限，均為契約金額的百分之十。</w:t>
      </w:r>
    </w:p>
    <w:p w:rsidR="008C299F" w:rsidRPr="005D65CA" w:rsidRDefault="008C299F" w:rsidP="00952113">
      <w:pPr>
        <w:pStyle w:val="a7"/>
        <w:numPr>
          <w:ilvl w:val="0"/>
          <w:numId w:val="1"/>
        </w:numPr>
        <w:ind w:leftChars="0" w:left="1985" w:hanging="567"/>
        <w:rPr>
          <w:rFonts w:eastAsia="標楷體"/>
          <w:szCs w:val="24"/>
        </w:rPr>
      </w:pPr>
      <w:r w:rsidRPr="005D65CA">
        <w:rPr>
          <w:rFonts w:eastAsia="標楷體"/>
          <w:szCs w:val="24"/>
        </w:rPr>
        <w:t>績效評估</w:t>
      </w:r>
    </w:p>
    <w:p w:rsidR="008C299F" w:rsidRPr="005D65CA" w:rsidRDefault="008C299F" w:rsidP="00952113">
      <w:pPr>
        <w:pStyle w:val="a7"/>
        <w:numPr>
          <w:ilvl w:val="0"/>
          <w:numId w:val="9"/>
        </w:numPr>
        <w:ind w:leftChars="0" w:left="2268" w:hanging="284"/>
        <w:rPr>
          <w:rFonts w:eastAsia="標楷體"/>
        </w:rPr>
      </w:pPr>
      <w:r w:rsidRPr="005D65CA">
        <w:rPr>
          <w:rFonts w:eastAsia="標楷體"/>
        </w:rPr>
        <w:t>避險性交易</w:t>
      </w:r>
    </w:p>
    <w:p w:rsidR="008C299F" w:rsidRPr="005D65CA" w:rsidRDefault="008C299F" w:rsidP="00952113">
      <w:pPr>
        <w:ind w:left="2268"/>
        <w:rPr>
          <w:rFonts w:eastAsia="標楷體"/>
        </w:rPr>
      </w:pPr>
      <w:r w:rsidRPr="005D65CA">
        <w:rPr>
          <w:rFonts w:eastAsia="標楷體"/>
        </w:rPr>
        <w:t>以被避險項目及避險性交易整體損益為績效評估基礎。</w:t>
      </w:r>
    </w:p>
    <w:p w:rsidR="008C299F" w:rsidRPr="005D65CA" w:rsidRDefault="008C299F" w:rsidP="00952113">
      <w:pPr>
        <w:pStyle w:val="a7"/>
        <w:numPr>
          <w:ilvl w:val="0"/>
          <w:numId w:val="9"/>
        </w:numPr>
        <w:ind w:leftChars="0" w:left="2268" w:hanging="284"/>
        <w:rPr>
          <w:rFonts w:eastAsia="標楷體"/>
        </w:rPr>
      </w:pPr>
      <w:r w:rsidRPr="005D65CA">
        <w:rPr>
          <w:rFonts w:eastAsia="標楷體"/>
        </w:rPr>
        <w:t>特定用途交易</w:t>
      </w:r>
    </w:p>
    <w:p w:rsidR="008C299F" w:rsidRPr="005D65CA" w:rsidRDefault="008C299F" w:rsidP="00952113">
      <w:pPr>
        <w:ind w:left="2268"/>
        <w:rPr>
          <w:rFonts w:eastAsia="標楷體"/>
        </w:rPr>
      </w:pPr>
      <w:r w:rsidRPr="005D65CA">
        <w:rPr>
          <w:rFonts w:eastAsia="標楷體"/>
        </w:rPr>
        <w:t>依特定項目及特定交易整體損益考量為績效評估基礎。</w:t>
      </w:r>
    </w:p>
    <w:p w:rsidR="008C299F" w:rsidRPr="005D65CA" w:rsidRDefault="008C299F" w:rsidP="00952113">
      <w:pPr>
        <w:pStyle w:val="a7"/>
        <w:numPr>
          <w:ilvl w:val="0"/>
          <w:numId w:val="9"/>
        </w:numPr>
        <w:ind w:leftChars="0" w:left="2268" w:hanging="284"/>
        <w:rPr>
          <w:rFonts w:eastAsia="標楷體"/>
        </w:rPr>
      </w:pPr>
      <w:r w:rsidRPr="005D65CA">
        <w:rPr>
          <w:rFonts w:eastAsia="標楷體"/>
        </w:rPr>
        <w:t>財務單位應定期提供交易部位評價與市場分析予財務最高主管作為管理參考與指示。</w:t>
      </w:r>
    </w:p>
    <w:p w:rsidR="008C299F" w:rsidRPr="005D65CA" w:rsidRDefault="008C299F" w:rsidP="00952113">
      <w:pPr>
        <w:pStyle w:val="a7"/>
        <w:numPr>
          <w:ilvl w:val="0"/>
          <w:numId w:val="1"/>
        </w:numPr>
        <w:ind w:leftChars="0" w:left="1985" w:hanging="567"/>
        <w:rPr>
          <w:rFonts w:eastAsia="標楷體"/>
          <w:szCs w:val="24"/>
        </w:rPr>
      </w:pPr>
      <w:r w:rsidRPr="005D65CA">
        <w:rPr>
          <w:rFonts w:eastAsia="標楷體"/>
          <w:szCs w:val="24"/>
        </w:rPr>
        <w:t>定期評估方式</w:t>
      </w:r>
    </w:p>
    <w:p w:rsidR="008C299F" w:rsidRPr="005D65CA" w:rsidRDefault="008C299F" w:rsidP="00952113">
      <w:pPr>
        <w:ind w:leftChars="827" w:left="1985"/>
        <w:rPr>
          <w:rFonts w:eastAsia="標楷體"/>
        </w:rPr>
      </w:pPr>
      <w:r w:rsidRPr="005D65CA">
        <w:rPr>
          <w:rFonts w:eastAsia="標楷體"/>
        </w:rPr>
        <w:t>衍生性商品交易所持有之部位至少每週應評估一次。惟若為業務需要辦理之避險性交易至少每月應評估二次，其評估報告應呈送董事會授權之高階主管人員。</w:t>
      </w:r>
    </w:p>
    <w:p w:rsidR="008C299F" w:rsidRPr="005D65CA" w:rsidRDefault="008C299F" w:rsidP="00952113">
      <w:pPr>
        <w:ind w:leftChars="200" w:left="480" w:firstLineChars="272" w:firstLine="653"/>
        <w:rPr>
          <w:rFonts w:eastAsia="標楷體"/>
        </w:rPr>
      </w:pPr>
      <w:r w:rsidRPr="005D65CA">
        <w:rPr>
          <w:rFonts w:eastAsia="標楷體"/>
        </w:rPr>
        <w:t>二、風險管理措施</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信用風險</w:t>
      </w:r>
    </w:p>
    <w:p w:rsidR="008C299F" w:rsidRPr="005D65CA" w:rsidRDefault="008C299F" w:rsidP="008C299F">
      <w:pPr>
        <w:pStyle w:val="a8"/>
        <w:ind w:leftChars="960" w:left="2304"/>
        <w:rPr>
          <w:rFonts w:ascii="Times New Roman"/>
        </w:rPr>
      </w:pPr>
      <w:r w:rsidRPr="005D65CA">
        <w:rPr>
          <w:rFonts w:ascii="Times New Roman"/>
        </w:rPr>
        <w:lastRenderedPageBreak/>
        <w:t>交易對象以國內外著名之金融機構為主，並應考量其信用評等為原則。</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市場風險</w:t>
      </w:r>
    </w:p>
    <w:p w:rsidR="008C299F" w:rsidRPr="005D65CA" w:rsidRDefault="008C299F" w:rsidP="008C299F">
      <w:pPr>
        <w:pStyle w:val="a7"/>
        <w:ind w:leftChars="0" w:left="2268"/>
        <w:jc w:val="both"/>
        <w:rPr>
          <w:rFonts w:eastAsia="標楷體"/>
        </w:rPr>
      </w:pPr>
      <w:r w:rsidRPr="005D65CA">
        <w:rPr>
          <w:rFonts w:eastAsia="標楷體"/>
          <w:kern w:val="0"/>
        </w:rPr>
        <w:t>對衍生性金融商品，因利率、匯率變化或其他因素所造成之巿價變動風險，依前項第六款規定加以控制管理。</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流動性風險</w:t>
      </w:r>
    </w:p>
    <w:p w:rsidR="008C299F" w:rsidRPr="005D65CA" w:rsidRDefault="008C299F" w:rsidP="008C299F">
      <w:pPr>
        <w:pStyle w:val="a7"/>
        <w:ind w:leftChars="0" w:left="2268"/>
        <w:jc w:val="both"/>
        <w:rPr>
          <w:rFonts w:eastAsia="標楷體"/>
        </w:rPr>
      </w:pPr>
      <w:r w:rsidRPr="005D65CA">
        <w:rPr>
          <w:rFonts w:eastAsia="標楷體"/>
        </w:rPr>
        <w:t>承作之金融產品須具普遍性，可隨時於市場上進行反向沖銷；受託交易之金融機構必須有充足的資訊及能力，可於任何市場進行交易。</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現金流量風險</w:t>
      </w:r>
    </w:p>
    <w:p w:rsidR="008C299F" w:rsidRPr="005D65CA" w:rsidRDefault="008C299F" w:rsidP="008C299F">
      <w:pPr>
        <w:pStyle w:val="a8"/>
        <w:ind w:leftChars="960" w:left="2304"/>
        <w:rPr>
          <w:rFonts w:ascii="Times New Roman"/>
        </w:rPr>
      </w:pPr>
      <w:r w:rsidRPr="005D65CA">
        <w:rPr>
          <w:rFonts w:ascii="Times New Roman"/>
        </w:rPr>
        <w:t>從事衍生性商品交易應考量交易商品於交易期間所產生之預計現金流量，並確保營運資金足以支應其交割需求。</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作業風險</w:t>
      </w:r>
    </w:p>
    <w:p w:rsidR="008C299F" w:rsidRPr="005D65CA" w:rsidRDefault="008C299F" w:rsidP="008C299F">
      <w:pPr>
        <w:pStyle w:val="a7"/>
        <w:numPr>
          <w:ilvl w:val="0"/>
          <w:numId w:val="10"/>
        </w:numPr>
        <w:ind w:leftChars="945" w:left="2551" w:hangingChars="118" w:hanging="283"/>
        <w:jc w:val="both"/>
        <w:rPr>
          <w:rFonts w:eastAsia="標楷體"/>
        </w:rPr>
      </w:pPr>
      <w:r w:rsidRPr="005D65CA">
        <w:rPr>
          <w:rFonts w:eastAsia="標楷體"/>
        </w:rPr>
        <w:t>從事衍生性商品交易相關人員依前項第三款權責劃分之規範以避免作業風險。</w:t>
      </w:r>
    </w:p>
    <w:p w:rsidR="008C299F" w:rsidRPr="005D65CA" w:rsidRDefault="008C299F" w:rsidP="008C299F">
      <w:pPr>
        <w:pStyle w:val="a7"/>
        <w:numPr>
          <w:ilvl w:val="0"/>
          <w:numId w:val="10"/>
        </w:numPr>
        <w:ind w:leftChars="945" w:left="2551" w:hangingChars="118" w:hanging="283"/>
        <w:jc w:val="both"/>
        <w:rPr>
          <w:rFonts w:eastAsia="標楷體"/>
        </w:rPr>
      </w:pPr>
      <w:r w:rsidRPr="005D65CA">
        <w:rPr>
          <w:rFonts w:eastAsia="標楷體"/>
        </w:rPr>
        <w:t>風險之衡量、監督與控制人員應與前項第三款相關人員分屬不同部門，並應向董事會或向不負交易或部位決策責任之高階主管人員報告。</w:t>
      </w:r>
    </w:p>
    <w:p w:rsidR="008C299F" w:rsidRPr="005D65CA" w:rsidRDefault="008C299F" w:rsidP="008C299F">
      <w:pPr>
        <w:pStyle w:val="a7"/>
        <w:numPr>
          <w:ilvl w:val="0"/>
          <w:numId w:val="2"/>
        </w:numPr>
        <w:ind w:leftChars="0" w:left="2268" w:hanging="567"/>
        <w:jc w:val="both"/>
        <w:rPr>
          <w:rFonts w:eastAsia="標楷體"/>
        </w:rPr>
      </w:pPr>
      <w:r w:rsidRPr="005D65CA">
        <w:rPr>
          <w:rFonts w:eastAsia="標楷體"/>
        </w:rPr>
        <w:t>法律風險</w:t>
      </w:r>
    </w:p>
    <w:p w:rsidR="008C299F" w:rsidRPr="005D65CA" w:rsidRDefault="008C299F" w:rsidP="008C299F">
      <w:pPr>
        <w:pStyle w:val="a7"/>
        <w:ind w:leftChars="0" w:left="2268"/>
        <w:jc w:val="both"/>
        <w:rPr>
          <w:rFonts w:eastAsia="標楷體"/>
        </w:rPr>
      </w:pPr>
      <w:r w:rsidRPr="005D65CA">
        <w:rPr>
          <w:rFonts w:eastAsia="標楷體"/>
        </w:rPr>
        <w:t>與金融機構簽署的文件應經財務及法務或法律顧問等專門人員檢視後才能正式簽署，以避免法律風險。</w:t>
      </w:r>
    </w:p>
    <w:p w:rsidR="008C299F" w:rsidRPr="005D65CA" w:rsidRDefault="008C299F" w:rsidP="008C299F">
      <w:pPr>
        <w:ind w:leftChars="200" w:left="480" w:firstLineChars="300" w:firstLine="720"/>
        <w:rPr>
          <w:rFonts w:eastAsia="標楷體"/>
        </w:rPr>
      </w:pPr>
      <w:r w:rsidRPr="005D65CA">
        <w:rPr>
          <w:rFonts w:eastAsia="標楷體"/>
        </w:rPr>
        <w:t>三、內部稽核</w:t>
      </w:r>
    </w:p>
    <w:p w:rsidR="008C299F" w:rsidRPr="005D65CA" w:rsidRDefault="008C299F" w:rsidP="008C299F">
      <w:pPr>
        <w:pStyle w:val="a7"/>
        <w:numPr>
          <w:ilvl w:val="0"/>
          <w:numId w:val="4"/>
        </w:numPr>
        <w:ind w:leftChars="0" w:left="2268" w:hanging="567"/>
        <w:rPr>
          <w:rFonts w:eastAsia="標楷體"/>
          <w:kern w:val="0"/>
        </w:rPr>
      </w:pPr>
      <w:r w:rsidRPr="005D65CA">
        <w:rPr>
          <w:rFonts w:eastAsia="標楷體"/>
        </w:rPr>
        <w:t>從事衍生性商品交易應建立備查簿，</w:t>
      </w:r>
      <w:r w:rsidRPr="005D65CA">
        <w:rPr>
          <w:rFonts w:eastAsia="標楷體"/>
          <w:kern w:val="0"/>
        </w:rPr>
        <w:t>並依相關法令之規定記載相關事宜。</w:t>
      </w:r>
    </w:p>
    <w:p w:rsidR="008C299F" w:rsidRPr="005D65CA" w:rsidRDefault="008C299F" w:rsidP="008C299F">
      <w:pPr>
        <w:pStyle w:val="a7"/>
        <w:numPr>
          <w:ilvl w:val="0"/>
          <w:numId w:val="4"/>
        </w:numPr>
        <w:ind w:leftChars="0" w:left="2268" w:hanging="567"/>
        <w:rPr>
          <w:rFonts w:eastAsia="標楷體"/>
          <w:kern w:val="0"/>
        </w:rPr>
      </w:pPr>
      <w:r w:rsidRPr="005D65CA">
        <w:rPr>
          <w:rFonts w:eastAsia="標楷體"/>
        </w:rPr>
        <w:t>稽核單位應定期瞭解衍生性商品交易內部控制之允當性，並按月稽核交易部門對從事衍生性商品交易處理程序之遵循情形，作成稽核報告，如發現重大違規情事，應以書面通知</w:t>
      </w:r>
      <w:r w:rsidR="00777BAE">
        <w:rPr>
          <w:rFonts w:eastAsia="標楷體"/>
        </w:rPr>
        <w:t>審計委員會</w:t>
      </w:r>
      <w:r w:rsidRPr="005D65CA">
        <w:rPr>
          <w:rFonts w:eastAsia="標楷體"/>
        </w:rPr>
        <w:t>。</w:t>
      </w:r>
    </w:p>
    <w:p w:rsidR="008C299F" w:rsidRPr="005D65CA" w:rsidRDefault="008C299F" w:rsidP="008C299F">
      <w:pPr>
        <w:ind w:leftChars="200" w:left="480" w:firstLineChars="300" w:firstLine="720"/>
        <w:rPr>
          <w:rFonts w:eastAsia="標楷體"/>
        </w:rPr>
      </w:pPr>
      <w:r w:rsidRPr="005D65CA">
        <w:rPr>
          <w:rFonts w:eastAsia="標楷體"/>
        </w:rPr>
        <w:t>四、董事會之監管原則</w:t>
      </w:r>
    </w:p>
    <w:p w:rsidR="008C299F" w:rsidRPr="005D65CA" w:rsidRDefault="008C299F" w:rsidP="008C299F">
      <w:pPr>
        <w:pStyle w:val="a7"/>
        <w:numPr>
          <w:ilvl w:val="0"/>
          <w:numId w:val="3"/>
        </w:numPr>
        <w:ind w:leftChars="0" w:left="2268" w:hanging="567"/>
        <w:rPr>
          <w:rFonts w:eastAsia="標楷體"/>
        </w:rPr>
      </w:pPr>
      <w:r w:rsidRPr="005D65CA">
        <w:rPr>
          <w:rFonts w:eastAsia="標楷體"/>
          <w:szCs w:val="24"/>
        </w:rPr>
        <w:t>董事會應</w:t>
      </w:r>
      <w:r w:rsidRPr="005D65CA">
        <w:rPr>
          <w:rFonts w:eastAsia="標楷體"/>
        </w:rPr>
        <w:t>定期評估從事衍生性商品交易之績效是否符合既定之經營策略，及承擔之風險是否在公司容許承受之範圍。</w:t>
      </w:r>
    </w:p>
    <w:p w:rsidR="008C299F" w:rsidRPr="005D65CA" w:rsidRDefault="008C299F" w:rsidP="008C299F">
      <w:pPr>
        <w:pStyle w:val="a7"/>
        <w:numPr>
          <w:ilvl w:val="0"/>
          <w:numId w:val="3"/>
        </w:numPr>
        <w:ind w:leftChars="0" w:left="2268" w:hanging="567"/>
        <w:rPr>
          <w:rFonts w:eastAsia="標楷體"/>
        </w:rPr>
      </w:pPr>
      <w:r w:rsidRPr="005D65CA">
        <w:rPr>
          <w:rFonts w:eastAsia="標楷體"/>
        </w:rPr>
        <w:t>董事會應授權高階主管人員依下列原則管理衍生性商品交易：</w:t>
      </w:r>
    </w:p>
    <w:p w:rsidR="008C299F" w:rsidRPr="005D65CA" w:rsidRDefault="008C299F" w:rsidP="008C299F">
      <w:pPr>
        <w:pStyle w:val="a7"/>
        <w:numPr>
          <w:ilvl w:val="0"/>
          <w:numId w:val="11"/>
        </w:numPr>
        <w:ind w:leftChars="0" w:left="2552" w:hanging="284"/>
        <w:jc w:val="both"/>
        <w:rPr>
          <w:rFonts w:eastAsia="標楷體"/>
        </w:rPr>
      </w:pPr>
      <w:r w:rsidRPr="005D65CA">
        <w:rPr>
          <w:rFonts w:eastAsia="標楷體"/>
        </w:rPr>
        <w:t>定期評估目前使用之風險管理措施是否適當並確實依本處理程序辦理。</w:t>
      </w:r>
    </w:p>
    <w:p w:rsidR="008C299F" w:rsidRPr="005D65CA" w:rsidRDefault="008C299F" w:rsidP="008C299F">
      <w:pPr>
        <w:pStyle w:val="a7"/>
        <w:numPr>
          <w:ilvl w:val="0"/>
          <w:numId w:val="11"/>
        </w:numPr>
        <w:ind w:leftChars="0" w:left="2552" w:hanging="284"/>
        <w:jc w:val="both"/>
        <w:rPr>
          <w:rFonts w:eastAsia="標楷體"/>
        </w:rPr>
      </w:pPr>
      <w:r w:rsidRPr="005D65CA">
        <w:rPr>
          <w:rFonts w:eastAsia="標楷體"/>
        </w:rPr>
        <w:t>監督交易及損益情形，發現有異常情事時，應採取必要之因應措施，並立即向董事會報告。本公司若已設置獨立董事時，董事會應有獨立董事出席並表示意見。</w:t>
      </w:r>
    </w:p>
    <w:p w:rsidR="008C299F" w:rsidRPr="005D65CA" w:rsidRDefault="008C299F" w:rsidP="008C299F">
      <w:pPr>
        <w:pStyle w:val="a7"/>
        <w:numPr>
          <w:ilvl w:val="0"/>
          <w:numId w:val="3"/>
        </w:numPr>
        <w:ind w:leftChars="0" w:left="2268" w:hanging="567"/>
        <w:rPr>
          <w:rFonts w:eastAsia="標楷體"/>
        </w:rPr>
      </w:pPr>
      <w:r w:rsidRPr="005D65CA">
        <w:rPr>
          <w:rFonts w:eastAsia="標楷體"/>
        </w:rPr>
        <w:lastRenderedPageBreak/>
        <w:t>從事衍生性商品交易，依本處理程序規定授權相關人員辦理者，事後應提報最近期董事會。</w:t>
      </w:r>
    </w:p>
    <w:p w:rsidR="008C299F" w:rsidRPr="005D65CA" w:rsidRDefault="008C299F" w:rsidP="008C299F">
      <w:pPr>
        <w:pStyle w:val="a5"/>
        <w:ind w:left="1200" w:hangingChars="500" w:hanging="1200"/>
        <w:rPr>
          <w:rFonts w:eastAsia="標楷體"/>
          <w:sz w:val="24"/>
          <w:szCs w:val="24"/>
        </w:rPr>
      </w:pPr>
      <w:r w:rsidRPr="005D65CA">
        <w:rPr>
          <w:rFonts w:eastAsia="標楷體"/>
          <w:sz w:val="24"/>
          <w:szCs w:val="24"/>
        </w:rPr>
        <w:t>第十三條：本公司依法律合併、分割、收購或股份受讓而取得或處分資產，除適用本程序之規定外，悉依企業併購法及主管機關所訂「公開發行公司取得或處分資產處理準則」之規定辦理。</w:t>
      </w:r>
    </w:p>
    <w:p w:rsidR="008C299F" w:rsidRPr="00EA4024" w:rsidRDefault="008C299F" w:rsidP="008C299F">
      <w:pPr>
        <w:ind w:left="1224" w:hangingChars="510" w:hanging="1224"/>
        <w:jc w:val="both"/>
        <w:rPr>
          <w:rFonts w:eastAsia="標楷體"/>
        </w:rPr>
      </w:pPr>
      <w:r w:rsidRPr="00EA4024">
        <w:rPr>
          <w:rFonts w:eastAsia="標楷體" w:hint="eastAsia"/>
        </w:rPr>
        <w:t>第十四條：本公司取得或處分資產依本處理程序或其他法律規定應經董事會通過者，</w:t>
      </w:r>
      <w:r w:rsidR="003B4EBA" w:rsidRPr="00EA4024">
        <w:rPr>
          <w:rFonts w:eastAsia="標楷體" w:hint="eastAsia"/>
        </w:rPr>
        <w:t>在討論時，應充分考量各獨立董事之意見，並將其反對或保留之意見列入會議紀錄；</w:t>
      </w:r>
      <w:r w:rsidRPr="00EA4024">
        <w:rPr>
          <w:rFonts w:eastAsia="標楷體" w:hint="eastAsia"/>
        </w:rPr>
        <w:t>如有董事表示異議且有紀錄或書面聲明，公司應將董事異議資料送</w:t>
      </w:r>
      <w:r w:rsidR="003A4962" w:rsidRPr="00EA4024">
        <w:rPr>
          <w:rFonts w:eastAsia="標楷體" w:hint="eastAsia"/>
        </w:rPr>
        <w:t>審計委員會</w:t>
      </w:r>
      <w:r w:rsidRPr="00EA4024">
        <w:rPr>
          <w:rFonts w:eastAsia="標楷體" w:hint="eastAsia"/>
        </w:rPr>
        <w:t>。</w:t>
      </w:r>
    </w:p>
    <w:p w:rsidR="008C299F" w:rsidRPr="00EA4024" w:rsidRDefault="008C299F" w:rsidP="008C299F">
      <w:pPr>
        <w:ind w:leftChars="510" w:left="1224"/>
        <w:jc w:val="both"/>
        <w:rPr>
          <w:rFonts w:eastAsia="標楷體"/>
        </w:rPr>
      </w:pPr>
      <w:r w:rsidRPr="00EA4024">
        <w:rPr>
          <w:rFonts w:eastAsia="標楷體"/>
        </w:rPr>
        <w:t>本公司重大之資產或衍生性商品交易，應經審計委員會全體成員二分之一以上同意，並提董事會決議。如未經審計委員會全體成員二分之一以上同意，得由全體董事三分之二以上同意行之，並應於董事會議事錄載明審計委員會之決議。</w:t>
      </w:r>
    </w:p>
    <w:p w:rsidR="008C299F" w:rsidRPr="00EA4024" w:rsidRDefault="008C299F" w:rsidP="008C299F">
      <w:pPr>
        <w:ind w:left="1200" w:hangingChars="500" w:hanging="1200"/>
        <w:jc w:val="both"/>
        <w:rPr>
          <w:rFonts w:eastAsia="標楷體"/>
        </w:rPr>
      </w:pPr>
      <w:r w:rsidRPr="00EA4024">
        <w:rPr>
          <w:rFonts w:eastAsia="標楷體"/>
        </w:rPr>
        <w:t>第十五條：本公司取得或處分資產應公告申報項目、申報標準、申報時限及申報程序悉依據主管機關相關規定辦理。</w:t>
      </w:r>
    </w:p>
    <w:p w:rsidR="008C299F" w:rsidRPr="00EA4024" w:rsidRDefault="008C299F" w:rsidP="008C299F">
      <w:pPr>
        <w:jc w:val="both"/>
        <w:rPr>
          <w:rFonts w:eastAsia="標楷體"/>
        </w:rPr>
      </w:pPr>
      <w:r w:rsidRPr="00EA4024">
        <w:rPr>
          <w:rFonts w:eastAsia="標楷體"/>
        </w:rPr>
        <w:t>第十六條：本公司之子公司應依下列規定辦理：</w:t>
      </w:r>
    </w:p>
    <w:p w:rsidR="008C299F" w:rsidRPr="00EA4024" w:rsidRDefault="008C299F" w:rsidP="008C299F">
      <w:pPr>
        <w:ind w:left="1690" w:hanging="488"/>
        <w:jc w:val="both"/>
        <w:rPr>
          <w:rFonts w:eastAsia="標楷體"/>
        </w:rPr>
      </w:pPr>
      <w:r w:rsidRPr="00EA4024">
        <w:rPr>
          <w:rFonts w:eastAsia="標楷體"/>
        </w:rPr>
        <w:t>一、子公司取得或處</w:t>
      </w:r>
      <w:r w:rsidR="0075120B" w:rsidRPr="00EA4024">
        <w:rPr>
          <w:rFonts w:eastAsia="標楷體" w:hint="eastAsia"/>
        </w:rPr>
        <w:t>分</w:t>
      </w:r>
      <w:r w:rsidRPr="00EA4024">
        <w:rPr>
          <w:rFonts w:eastAsia="標楷體"/>
        </w:rPr>
        <w:t>資產時，應依本公司處理程序辦理，或依其制訂之取得或處分資產處理程序辦理。</w:t>
      </w:r>
    </w:p>
    <w:p w:rsidR="008C299F" w:rsidRPr="005D65CA" w:rsidRDefault="008C299F" w:rsidP="008C299F">
      <w:pPr>
        <w:ind w:left="1690" w:hanging="488"/>
        <w:jc w:val="both"/>
        <w:rPr>
          <w:rFonts w:eastAsia="標楷體"/>
        </w:rPr>
      </w:pPr>
      <w:r w:rsidRPr="00EA4024">
        <w:rPr>
          <w:rFonts w:eastAsia="標楷體"/>
        </w:rPr>
        <w:t>二、子公司制訂其取得或處分資產處理程序應依「公開發行公司取得或處分資產處理準則」有關規定訂定，經子公司董事會通過後，提報子公司股東會，修正時亦同。</w:t>
      </w:r>
    </w:p>
    <w:p w:rsidR="008C299F" w:rsidRPr="005D65CA" w:rsidRDefault="008C299F" w:rsidP="008C299F">
      <w:pPr>
        <w:jc w:val="both"/>
        <w:rPr>
          <w:rFonts w:eastAsia="標楷體"/>
          <w:szCs w:val="24"/>
        </w:rPr>
      </w:pPr>
      <w:r w:rsidRPr="005D65CA">
        <w:rPr>
          <w:rFonts w:eastAsia="標楷體"/>
          <w:szCs w:val="24"/>
        </w:rPr>
        <w:t>第十七條：罰則</w:t>
      </w:r>
    </w:p>
    <w:p w:rsidR="008C299F" w:rsidRPr="005D65CA" w:rsidRDefault="008C299F" w:rsidP="008C299F">
      <w:pPr>
        <w:pStyle w:val="2"/>
        <w:spacing w:before="0" w:line="240" w:lineRule="auto"/>
        <w:ind w:left="1200"/>
        <w:rPr>
          <w:rFonts w:ascii="Times New Roman"/>
          <w:b w:val="0"/>
          <w:sz w:val="24"/>
          <w:szCs w:val="24"/>
        </w:rPr>
      </w:pPr>
      <w:r w:rsidRPr="005D65CA">
        <w:rPr>
          <w:rFonts w:ascii="Times New Roman"/>
          <w:b w:val="0"/>
          <w:sz w:val="24"/>
          <w:szCs w:val="24"/>
        </w:rPr>
        <w:t>本公司員工承辦取得與處分資產違反本處理程序規定者，其懲戒悉依本公司相關人事規章之規定辦理。</w:t>
      </w:r>
    </w:p>
    <w:p w:rsidR="008C299F" w:rsidRPr="005D65CA" w:rsidRDefault="008C299F" w:rsidP="008C299F">
      <w:pPr>
        <w:jc w:val="both"/>
        <w:rPr>
          <w:rFonts w:eastAsia="標楷體"/>
          <w:szCs w:val="24"/>
        </w:rPr>
      </w:pPr>
      <w:r w:rsidRPr="005D65CA">
        <w:rPr>
          <w:rFonts w:eastAsia="標楷體"/>
          <w:szCs w:val="24"/>
        </w:rPr>
        <w:t>第十八條：實施與修訂</w:t>
      </w:r>
    </w:p>
    <w:p w:rsidR="008C299F" w:rsidRPr="00EA4024" w:rsidRDefault="008C299F" w:rsidP="008C299F">
      <w:pPr>
        <w:pStyle w:val="2"/>
        <w:spacing w:before="0" w:line="240" w:lineRule="auto"/>
        <w:ind w:left="1200"/>
        <w:rPr>
          <w:rFonts w:hAnsi="標楷體"/>
          <w:b w:val="0"/>
          <w:sz w:val="24"/>
          <w:szCs w:val="24"/>
        </w:rPr>
      </w:pPr>
      <w:r w:rsidRPr="00EA4024">
        <w:rPr>
          <w:rFonts w:hAnsi="標楷體" w:hint="eastAsia"/>
          <w:b w:val="0"/>
          <w:sz w:val="24"/>
          <w:szCs w:val="24"/>
        </w:rPr>
        <w:t>本公司『取得或處分資產處理程序』經</w:t>
      </w:r>
      <w:r w:rsidR="003A4962" w:rsidRPr="00EA4024">
        <w:rPr>
          <w:rFonts w:hAnsi="標楷體" w:hint="eastAsia"/>
          <w:b w:val="0"/>
          <w:sz w:val="24"/>
          <w:szCs w:val="24"/>
        </w:rPr>
        <w:t>審計委員會</w:t>
      </w:r>
      <w:r w:rsidR="005B2AE7" w:rsidRPr="00EA4024">
        <w:rPr>
          <w:rFonts w:hAnsi="標楷體" w:hint="eastAsia"/>
          <w:b w:val="0"/>
          <w:sz w:val="24"/>
          <w:szCs w:val="24"/>
        </w:rPr>
        <w:t>全體成員二分之一以上同意</w:t>
      </w:r>
      <w:r w:rsidR="003A4962" w:rsidRPr="00EA4024">
        <w:rPr>
          <w:rFonts w:hAnsi="標楷體" w:hint="eastAsia"/>
          <w:b w:val="0"/>
          <w:sz w:val="24"/>
          <w:szCs w:val="24"/>
        </w:rPr>
        <w:t>，並提</w:t>
      </w:r>
      <w:r w:rsidRPr="00EA4024">
        <w:rPr>
          <w:rFonts w:hAnsi="標楷體" w:hint="eastAsia"/>
          <w:b w:val="0"/>
          <w:sz w:val="24"/>
          <w:szCs w:val="24"/>
        </w:rPr>
        <w:t>董事會通過後，提報股東會同意，修正時亦同。另外本公司將『取得或處分資產處理程序』提報董事會討論時，應充分考量各獨立董事之意見，並將其反對或保留之意見列入會議紀錄；</w:t>
      </w:r>
    </w:p>
    <w:p w:rsidR="008C299F" w:rsidRPr="00EA4024" w:rsidRDefault="008C299F" w:rsidP="00EA4024">
      <w:pPr>
        <w:snapToGrid w:val="0"/>
        <w:spacing w:line="340" w:lineRule="exact"/>
        <w:ind w:left="1202"/>
        <w:rPr>
          <w:rFonts w:ascii="標楷體" w:hAnsi="標楷體"/>
          <w:b/>
          <w:szCs w:val="24"/>
        </w:rPr>
      </w:pPr>
      <w:r w:rsidRPr="00EA4024">
        <w:rPr>
          <w:rFonts w:ascii="標楷體" w:eastAsia="標楷體" w:hAnsi="標楷體" w:hint="eastAsia"/>
          <w:szCs w:val="24"/>
        </w:rPr>
        <w:t>本公司訂定或修正『取得或處分資產處理程序』時，如未經審計委員會全體成員二分之一以上同意，得由全體董事三分之二以上同意行之，並應於董事會議事錄載明審計委員會之決議。</w:t>
      </w:r>
      <w:r w:rsidR="003A4962" w:rsidRPr="003A4962">
        <w:rPr>
          <w:rFonts w:ascii="標楷體" w:eastAsia="標楷體" w:hAnsi="標楷體" w:hint="eastAsia"/>
          <w:szCs w:val="24"/>
        </w:rPr>
        <w:t>。以上所稱全體成員及全體董事，以實際在任者計算之。</w:t>
      </w:r>
    </w:p>
    <w:p w:rsidR="008C299F" w:rsidRPr="005D65CA" w:rsidRDefault="008C299F" w:rsidP="008C299F">
      <w:pPr>
        <w:jc w:val="both"/>
        <w:rPr>
          <w:rFonts w:eastAsia="標楷體"/>
          <w:szCs w:val="24"/>
        </w:rPr>
      </w:pPr>
      <w:r w:rsidRPr="005D65CA">
        <w:rPr>
          <w:rFonts w:eastAsia="標楷體"/>
          <w:szCs w:val="24"/>
        </w:rPr>
        <w:t>第十九條：附則</w:t>
      </w:r>
    </w:p>
    <w:p w:rsidR="00F668FD" w:rsidRPr="008C299F" w:rsidRDefault="008C299F" w:rsidP="00EA4024">
      <w:pPr>
        <w:ind w:left="1200"/>
        <w:jc w:val="both"/>
      </w:pPr>
      <w:r w:rsidRPr="005D65CA">
        <w:rPr>
          <w:rFonts w:eastAsia="標楷體"/>
          <w:szCs w:val="24"/>
        </w:rPr>
        <w:t>本處理程序如有未盡事宜，悉依有關法令辦理。</w:t>
      </w:r>
    </w:p>
    <w:sectPr w:rsidR="00F668FD" w:rsidRPr="008C299F" w:rsidSect="00EA4024">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404" w:rsidRDefault="00586404" w:rsidP="004F20AD">
      <w:r>
        <w:separator/>
      </w:r>
    </w:p>
  </w:endnote>
  <w:endnote w:type="continuationSeparator" w:id="0">
    <w:p w:rsidR="00586404" w:rsidRDefault="00586404" w:rsidP="004F2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41991"/>
      <w:docPartObj>
        <w:docPartGallery w:val="Page Numbers (Bottom of Page)"/>
        <w:docPartUnique/>
      </w:docPartObj>
    </w:sdtPr>
    <w:sdtEndPr/>
    <w:sdtContent>
      <w:p w:rsidR="00EA4024" w:rsidRDefault="00EA4024">
        <w:pPr>
          <w:pStyle w:val="ab"/>
          <w:jc w:val="right"/>
        </w:pPr>
        <w:r>
          <w:fldChar w:fldCharType="begin"/>
        </w:r>
        <w:r>
          <w:instrText>PAGE   \* MERGEFORMAT</w:instrText>
        </w:r>
        <w:r>
          <w:fldChar w:fldCharType="separate"/>
        </w:r>
        <w:r w:rsidR="00C46C2F" w:rsidRPr="00C46C2F">
          <w:rPr>
            <w:noProof/>
            <w:lang w:val="zh-TW"/>
          </w:rPr>
          <w:t>1</w:t>
        </w:r>
        <w:r>
          <w:fldChar w:fldCharType="end"/>
        </w:r>
      </w:p>
    </w:sdtContent>
  </w:sdt>
  <w:p w:rsidR="00EA4024" w:rsidRDefault="00EA402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404" w:rsidRDefault="00586404" w:rsidP="004F20AD">
      <w:r>
        <w:separator/>
      </w:r>
    </w:p>
  </w:footnote>
  <w:footnote w:type="continuationSeparator" w:id="0">
    <w:p w:rsidR="00586404" w:rsidRDefault="00586404" w:rsidP="004F20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A6125"/>
    <w:multiLevelType w:val="hybridMultilevel"/>
    <w:tmpl w:val="14486160"/>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 w15:restartNumberingAfterBreak="0">
    <w:nsid w:val="18D675E1"/>
    <w:multiLevelType w:val="hybridMultilevel"/>
    <w:tmpl w:val="111E1E04"/>
    <w:lvl w:ilvl="0" w:tplc="B5785AF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207B56ED"/>
    <w:multiLevelType w:val="hybridMultilevel"/>
    <w:tmpl w:val="1916D054"/>
    <w:lvl w:ilvl="0" w:tplc="B5785AF8">
      <w:start w:val="1"/>
      <w:numFmt w:val="taiwaneseCountingThousand"/>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3" w15:restartNumberingAfterBreak="0">
    <w:nsid w:val="28AA3DF3"/>
    <w:multiLevelType w:val="hybridMultilevel"/>
    <w:tmpl w:val="B476A298"/>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4" w15:restartNumberingAfterBreak="0">
    <w:nsid w:val="2A360BB7"/>
    <w:multiLevelType w:val="hybridMultilevel"/>
    <w:tmpl w:val="4C106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09E5676"/>
    <w:multiLevelType w:val="hybridMultilevel"/>
    <w:tmpl w:val="5E30BFA6"/>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6" w15:restartNumberingAfterBreak="0">
    <w:nsid w:val="3ED23401"/>
    <w:multiLevelType w:val="hybridMultilevel"/>
    <w:tmpl w:val="B484CC62"/>
    <w:lvl w:ilvl="0" w:tplc="0409000F">
      <w:start w:val="1"/>
      <w:numFmt w:val="decimal"/>
      <w:lvlText w:val="%1."/>
      <w:lvlJc w:val="left"/>
      <w:pPr>
        <w:ind w:left="2160" w:hanging="48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7" w15:restartNumberingAfterBreak="0">
    <w:nsid w:val="473F0C79"/>
    <w:multiLevelType w:val="hybridMultilevel"/>
    <w:tmpl w:val="5224BB6E"/>
    <w:lvl w:ilvl="0" w:tplc="0409000F">
      <w:start w:val="1"/>
      <w:numFmt w:val="decimal"/>
      <w:lvlText w:val="%1."/>
      <w:lvlJc w:val="left"/>
      <w:pPr>
        <w:ind w:left="2220" w:hanging="540"/>
      </w:pPr>
      <w:rPr>
        <w:rFonts w:hint="default"/>
        <w:sz w:val="26"/>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8" w15:restartNumberingAfterBreak="0">
    <w:nsid w:val="5FB159B0"/>
    <w:multiLevelType w:val="hybridMultilevel"/>
    <w:tmpl w:val="1E2CC9DE"/>
    <w:lvl w:ilvl="0" w:tplc="0409000F">
      <w:start w:val="1"/>
      <w:numFmt w:val="decimal"/>
      <w:lvlText w:val="%1."/>
      <w:lvlJc w:val="left"/>
      <w:pPr>
        <w:ind w:left="2340" w:hanging="72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9" w15:restartNumberingAfterBreak="0">
    <w:nsid w:val="6ADF2A0A"/>
    <w:multiLevelType w:val="hybridMultilevel"/>
    <w:tmpl w:val="9460D290"/>
    <w:lvl w:ilvl="0" w:tplc="B5785AF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73E326AD"/>
    <w:multiLevelType w:val="hybridMultilevel"/>
    <w:tmpl w:val="73D8C174"/>
    <w:lvl w:ilvl="0" w:tplc="B5785AF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
  </w:num>
  <w:num w:numId="2">
    <w:abstractNumId w:val="10"/>
  </w:num>
  <w:num w:numId="3">
    <w:abstractNumId w:val="9"/>
  </w:num>
  <w:num w:numId="4">
    <w:abstractNumId w:val="2"/>
  </w:num>
  <w:num w:numId="5">
    <w:abstractNumId w:val="5"/>
  </w:num>
  <w:num w:numId="6">
    <w:abstractNumId w:val="4"/>
  </w:num>
  <w:num w:numId="7">
    <w:abstractNumId w:val="0"/>
  </w:num>
  <w:num w:numId="8">
    <w:abstractNumId w:val="7"/>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99F"/>
    <w:rsid w:val="0027744C"/>
    <w:rsid w:val="003A4962"/>
    <w:rsid w:val="003B4EBA"/>
    <w:rsid w:val="004F20AD"/>
    <w:rsid w:val="00584C34"/>
    <w:rsid w:val="00586404"/>
    <w:rsid w:val="005B2AE7"/>
    <w:rsid w:val="00624C6B"/>
    <w:rsid w:val="006C5C1C"/>
    <w:rsid w:val="006E7649"/>
    <w:rsid w:val="0075120B"/>
    <w:rsid w:val="00777BAE"/>
    <w:rsid w:val="008C299F"/>
    <w:rsid w:val="00952113"/>
    <w:rsid w:val="009532C5"/>
    <w:rsid w:val="00A90072"/>
    <w:rsid w:val="00BB7C15"/>
    <w:rsid w:val="00C45ECE"/>
    <w:rsid w:val="00C46C2F"/>
    <w:rsid w:val="00D24155"/>
    <w:rsid w:val="00D253DD"/>
    <w:rsid w:val="00DD27AF"/>
    <w:rsid w:val="00E76535"/>
    <w:rsid w:val="00EA4024"/>
    <w:rsid w:val="00F15F58"/>
    <w:rsid w:val="00F66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3E72004-D248-4B55-A157-A831FF04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9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299F"/>
    <w:pPr>
      <w:ind w:left="900" w:hanging="900"/>
    </w:pPr>
    <w:rPr>
      <w:rFonts w:eastAsia="華康楷書體W5"/>
    </w:rPr>
  </w:style>
  <w:style w:type="character" w:customStyle="1" w:styleId="a4">
    <w:name w:val="本文縮排 字元"/>
    <w:basedOn w:val="a0"/>
    <w:link w:val="a3"/>
    <w:rsid w:val="008C299F"/>
    <w:rPr>
      <w:rFonts w:ascii="Times New Roman" w:eastAsia="華康楷書體W5" w:hAnsi="Times New Roman" w:cs="Times New Roman"/>
      <w:szCs w:val="20"/>
    </w:rPr>
  </w:style>
  <w:style w:type="paragraph" w:styleId="3">
    <w:name w:val="Body Text Indent 3"/>
    <w:basedOn w:val="a"/>
    <w:link w:val="30"/>
    <w:rsid w:val="008C299F"/>
    <w:pPr>
      <w:ind w:left="960" w:hanging="960"/>
    </w:pPr>
    <w:rPr>
      <w:rFonts w:eastAsia="華康楷書體W5"/>
      <w:spacing w:val="-4"/>
      <w:sz w:val="20"/>
    </w:rPr>
  </w:style>
  <w:style w:type="character" w:customStyle="1" w:styleId="30">
    <w:name w:val="本文縮排 3 字元"/>
    <w:basedOn w:val="a0"/>
    <w:link w:val="3"/>
    <w:rsid w:val="008C299F"/>
    <w:rPr>
      <w:rFonts w:ascii="Times New Roman" w:eastAsia="華康楷書體W5" w:hAnsi="Times New Roman" w:cs="Times New Roman"/>
      <w:spacing w:val="-4"/>
      <w:sz w:val="20"/>
      <w:szCs w:val="20"/>
    </w:rPr>
  </w:style>
  <w:style w:type="paragraph" w:styleId="a5">
    <w:name w:val="Body Text"/>
    <w:basedOn w:val="a"/>
    <w:link w:val="a6"/>
    <w:rsid w:val="008C299F"/>
    <w:rPr>
      <w:rFonts w:eastAsia="華康楷書體W5"/>
      <w:sz w:val="20"/>
    </w:rPr>
  </w:style>
  <w:style w:type="character" w:customStyle="1" w:styleId="a6">
    <w:name w:val="本文 字元"/>
    <w:basedOn w:val="a0"/>
    <w:link w:val="a5"/>
    <w:rsid w:val="008C299F"/>
    <w:rPr>
      <w:rFonts w:ascii="Times New Roman" w:eastAsia="華康楷書體W5" w:hAnsi="Times New Roman" w:cs="Times New Roman"/>
      <w:sz w:val="20"/>
      <w:szCs w:val="20"/>
    </w:rPr>
  </w:style>
  <w:style w:type="paragraph" w:styleId="2">
    <w:name w:val="Body Text 2"/>
    <w:basedOn w:val="a"/>
    <w:link w:val="20"/>
    <w:rsid w:val="008C299F"/>
    <w:pPr>
      <w:adjustRightInd w:val="0"/>
      <w:snapToGrid w:val="0"/>
      <w:spacing w:before="120" w:line="260" w:lineRule="exact"/>
      <w:jc w:val="both"/>
    </w:pPr>
    <w:rPr>
      <w:rFonts w:ascii="標楷體" w:eastAsia="標楷體"/>
      <w:b/>
      <w:sz w:val="20"/>
    </w:rPr>
  </w:style>
  <w:style w:type="character" w:customStyle="1" w:styleId="20">
    <w:name w:val="本文 2 字元"/>
    <w:basedOn w:val="a0"/>
    <w:link w:val="2"/>
    <w:rsid w:val="008C299F"/>
    <w:rPr>
      <w:rFonts w:ascii="標楷體" w:eastAsia="標楷體" w:hAnsi="Times New Roman" w:cs="Times New Roman"/>
      <w:b/>
      <w:sz w:val="20"/>
      <w:szCs w:val="20"/>
    </w:rPr>
  </w:style>
  <w:style w:type="paragraph" w:styleId="a7">
    <w:name w:val="List Paragraph"/>
    <w:basedOn w:val="a"/>
    <w:uiPriority w:val="34"/>
    <w:qFormat/>
    <w:rsid w:val="008C299F"/>
    <w:pPr>
      <w:ind w:leftChars="200" w:left="480"/>
    </w:pPr>
  </w:style>
  <w:style w:type="paragraph" w:styleId="a8">
    <w:name w:val="List Bullet"/>
    <w:basedOn w:val="a"/>
    <w:autoRedefine/>
    <w:rsid w:val="008C299F"/>
    <w:pPr>
      <w:adjustRightInd w:val="0"/>
      <w:snapToGrid w:val="0"/>
      <w:ind w:left="2268"/>
      <w:jc w:val="both"/>
      <w:textAlignment w:val="baseline"/>
    </w:pPr>
    <w:rPr>
      <w:rFonts w:ascii="標楷體" w:eastAsia="標楷體"/>
      <w:kern w:val="0"/>
    </w:rPr>
  </w:style>
  <w:style w:type="paragraph" w:styleId="a9">
    <w:name w:val="header"/>
    <w:basedOn w:val="a"/>
    <w:link w:val="aa"/>
    <w:uiPriority w:val="99"/>
    <w:unhideWhenUsed/>
    <w:rsid w:val="004F20AD"/>
    <w:pPr>
      <w:tabs>
        <w:tab w:val="center" w:pos="4153"/>
        <w:tab w:val="right" w:pos="8306"/>
      </w:tabs>
      <w:snapToGrid w:val="0"/>
    </w:pPr>
    <w:rPr>
      <w:sz w:val="20"/>
    </w:rPr>
  </w:style>
  <w:style w:type="character" w:customStyle="1" w:styleId="aa">
    <w:name w:val="頁首 字元"/>
    <w:basedOn w:val="a0"/>
    <w:link w:val="a9"/>
    <w:uiPriority w:val="99"/>
    <w:rsid w:val="004F20AD"/>
    <w:rPr>
      <w:rFonts w:ascii="Times New Roman" w:eastAsia="新細明體" w:hAnsi="Times New Roman" w:cs="Times New Roman"/>
      <w:sz w:val="20"/>
      <w:szCs w:val="20"/>
    </w:rPr>
  </w:style>
  <w:style w:type="paragraph" w:styleId="ab">
    <w:name w:val="footer"/>
    <w:basedOn w:val="a"/>
    <w:link w:val="ac"/>
    <w:uiPriority w:val="99"/>
    <w:unhideWhenUsed/>
    <w:rsid w:val="004F20AD"/>
    <w:pPr>
      <w:tabs>
        <w:tab w:val="center" w:pos="4153"/>
        <w:tab w:val="right" w:pos="8306"/>
      </w:tabs>
      <w:snapToGrid w:val="0"/>
    </w:pPr>
    <w:rPr>
      <w:sz w:val="20"/>
    </w:rPr>
  </w:style>
  <w:style w:type="character" w:customStyle="1" w:styleId="ac">
    <w:name w:val="頁尾 字元"/>
    <w:basedOn w:val="a0"/>
    <w:link w:val="ab"/>
    <w:uiPriority w:val="99"/>
    <w:rsid w:val="004F20AD"/>
    <w:rPr>
      <w:rFonts w:ascii="Times New Roman" w:eastAsia="新細明體" w:hAnsi="Times New Roman" w:cs="Times New Roman"/>
      <w:sz w:val="20"/>
      <w:szCs w:val="20"/>
    </w:rPr>
  </w:style>
  <w:style w:type="paragraph" w:styleId="ad">
    <w:name w:val="Balloon Text"/>
    <w:basedOn w:val="a"/>
    <w:link w:val="ae"/>
    <w:uiPriority w:val="99"/>
    <w:semiHidden/>
    <w:unhideWhenUsed/>
    <w:rsid w:val="004F20A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F2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 Chang[張淑雲]</dc:creator>
  <cp:lastModifiedBy>CarolWeng 翁秀芬</cp:lastModifiedBy>
  <cp:revision>5</cp:revision>
  <cp:lastPrinted>2018-01-31T10:17:00Z</cp:lastPrinted>
  <dcterms:created xsi:type="dcterms:W3CDTF">2016-07-01T07:08:00Z</dcterms:created>
  <dcterms:modified xsi:type="dcterms:W3CDTF">2018-06-22T08:58:00Z</dcterms:modified>
</cp:coreProperties>
</file>